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ascii="方正黑体_GBK" w:hAnsi="宋体" w:eastAsia="方正黑体_GBK"/>
          <w:color w:val="auto"/>
          <w:spacing w:val="20"/>
          <w:sz w:val="112"/>
          <w:szCs w:val="112"/>
          <w:highlight w:val="none"/>
        </w:rPr>
      </w:pPr>
    </w:p>
    <w:p>
      <w:pPr>
        <w:jc w:val="distribute"/>
        <w:rPr>
          <w:rFonts w:ascii="方正黑体_GBK" w:hAnsi="宋体" w:eastAsia="方正黑体_GBK"/>
          <w:color w:val="auto"/>
          <w:spacing w:val="20"/>
          <w:sz w:val="112"/>
          <w:szCs w:val="112"/>
          <w:highlight w:val="none"/>
        </w:rPr>
      </w:pPr>
      <w:r>
        <w:rPr>
          <w:rFonts w:hint="eastAsia" w:ascii="方正黑体_GBK" w:hAnsi="宋体" w:eastAsia="方正黑体_GBK"/>
          <w:color w:val="auto"/>
          <w:spacing w:val="20"/>
          <w:sz w:val="112"/>
          <w:szCs w:val="112"/>
          <w:highlight w:val="none"/>
        </w:rPr>
        <w:t>竞争性磋商文件</w:t>
      </w: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ind w:left="3046" w:leftChars="600" w:hanging="1606" w:hangingChars="500"/>
        <w:jc w:val="left"/>
        <w:rPr>
          <w:rFonts w:hint="eastAsia" w:ascii="方正仿宋_GBK" w:hAnsi="宋体" w:eastAsia="仿宋"/>
          <w:b/>
          <w:color w:val="auto"/>
          <w:sz w:val="32"/>
          <w:szCs w:val="28"/>
          <w:highlight w:val="none"/>
          <w:lang w:val="en-US" w:eastAsia="zh-CN"/>
        </w:rPr>
      </w:pPr>
      <w:r>
        <w:rPr>
          <w:rFonts w:hint="eastAsia" w:ascii="方正仿宋_GBK" w:hAnsi="宋体" w:eastAsia="仿宋"/>
          <w:b/>
          <w:color w:val="auto"/>
          <w:sz w:val="32"/>
          <w:szCs w:val="28"/>
          <w:highlight w:val="none"/>
        </w:rPr>
        <w:t>项 目 号：</w:t>
      </w:r>
      <w:r>
        <w:rPr>
          <w:rFonts w:hint="eastAsia" w:ascii="方正小标宋_GBK" w:eastAsia="方正小标宋_GBK" w:cs="Times New Roman"/>
          <w:color w:val="auto"/>
          <w:sz w:val="30"/>
          <w:szCs w:val="30"/>
          <w:lang w:val="en-US" w:eastAsia="zh-CN" w:bidi="ar-SA"/>
        </w:rPr>
        <w:t>BNQHXYY2023039</w:t>
      </w:r>
      <w:r>
        <w:rPr>
          <w:rFonts w:hint="eastAsia" w:ascii="方正仿宋_GBK" w:hAnsi="宋体" w:eastAsia="仿宋"/>
          <w:b/>
          <w:color w:val="auto"/>
          <w:sz w:val="32"/>
          <w:szCs w:val="28"/>
          <w:highlight w:val="none"/>
        </w:rPr>
        <w:t xml:space="preserve"> </w:t>
      </w:r>
    </w:p>
    <w:p>
      <w:pPr>
        <w:ind w:left="3046" w:leftChars="600" w:hanging="1606" w:hangingChars="500"/>
        <w:jc w:val="left"/>
        <w:rPr>
          <w:rFonts w:hint="eastAsia" w:ascii="方正仿宋_GBK" w:hAnsi="宋体" w:eastAsia="仿宋"/>
          <w:b/>
          <w:color w:val="auto"/>
          <w:sz w:val="32"/>
          <w:szCs w:val="28"/>
          <w:highlight w:val="none"/>
          <w:lang w:eastAsia="zh-CN"/>
        </w:rPr>
      </w:pPr>
      <w:r>
        <w:rPr>
          <w:rFonts w:hint="eastAsia" w:ascii="方正仿宋_GBK" w:hAnsi="宋体" w:eastAsia="仿宋"/>
          <w:b/>
          <w:color w:val="auto"/>
          <w:sz w:val="32"/>
          <w:szCs w:val="28"/>
          <w:highlight w:val="none"/>
        </w:rPr>
        <w:t>项目名称：</w:t>
      </w:r>
      <w:r>
        <w:rPr>
          <w:rFonts w:hint="eastAsia" w:ascii="方正小标宋_GBK" w:eastAsia="方正小标宋_GBK"/>
          <w:color w:val="auto"/>
          <w:sz w:val="30"/>
          <w:szCs w:val="30"/>
          <w:lang w:val="en-US" w:eastAsia="zh-CN"/>
        </w:rPr>
        <w:t>三号楼内科序列、妇产科文化建设设计与制作</w:t>
      </w:r>
      <w:r>
        <w:rPr>
          <w:rFonts w:hint="eastAsia" w:ascii="方正小标宋_GBK" w:eastAsia="方正小标宋_GBK"/>
          <w:color w:val="auto"/>
          <w:sz w:val="30"/>
          <w:szCs w:val="30"/>
          <w:lang w:eastAsia="zh-CN"/>
        </w:rPr>
        <w:t>项目</w:t>
      </w:r>
    </w:p>
    <w:p>
      <w:pPr>
        <w:spacing w:line="520" w:lineRule="exact"/>
        <w:jc w:val="left"/>
        <w:rPr>
          <w:rFonts w:ascii="方正仿宋_GBK" w:hAnsi="宋体" w:eastAsia="仿宋"/>
          <w:b/>
          <w:color w:val="auto"/>
          <w:sz w:val="32"/>
          <w:szCs w:val="28"/>
          <w:highlight w:val="none"/>
        </w:rPr>
      </w:pPr>
    </w:p>
    <w:p>
      <w:pPr>
        <w:spacing w:line="520" w:lineRule="exact"/>
        <w:jc w:val="left"/>
        <w:rPr>
          <w:rFonts w:ascii="方正仿宋_GBK" w:hAnsi="宋体" w:eastAsia="仿宋"/>
          <w:b/>
          <w:color w:val="auto"/>
          <w:sz w:val="32"/>
          <w:szCs w:val="28"/>
          <w:highlight w:val="none"/>
        </w:rPr>
      </w:pPr>
    </w:p>
    <w:p>
      <w:pPr>
        <w:pStyle w:val="23"/>
        <w:rPr>
          <w:color w:val="auto"/>
          <w:sz w:val="22"/>
          <w:szCs w:val="18"/>
          <w:highlight w:val="none"/>
        </w:rPr>
      </w:pPr>
    </w:p>
    <w:p>
      <w:pPr>
        <w:spacing w:line="520" w:lineRule="exact"/>
        <w:jc w:val="left"/>
        <w:rPr>
          <w:rFonts w:ascii="方正仿宋_GBK" w:hAnsi="宋体" w:eastAsia="仿宋"/>
          <w:b/>
          <w:color w:val="auto"/>
          <w:sz w:val="32"/>
          <w:szCs w:val="28"/>
          <w:highlight w:val="none"/>
        </w:rPr>
      </w:pPr>
    </w:p>
    <w:p>
      <w:pPr>
        <w:ind w:left="3689" w:leftChars="600" w:hanging="2249" w:hangingChars="700"/>
        <w:jc w:val="left"/>
        <w:rPr>
          <w:rFonts w:ascii="方正仿宋_GBK" w:hAnsi="宋体" w:eastAsia="仿宋"/>
          <w:b/>
          <w:color w:val="auto"/>
          <w:sz w:val="32"/>
          <w:szCs w:val="28"/>
          <w:highlight w:val="none"/>
        </w:rPr>
      </w:pPr>
      <w:r>
        <w:rPr>
          <w:rFonts w:hint="eastAsia" w:ascii="方正仿宋_GBK" w:hAnsi="宋体" w:eastAsia="仿宋"/>
          <w:b/>
          <w:color w:val="auto"/>
          <w:sz w:val="32"/>
          <w:szCs w:val="28"/>
          <w:highlight w:val="none"/>
        </w:rPr>
        <w:t>采购人：重庆市巴南区第二人民医院</w:t>
      </w:r>
    </w:p>
    <w:p>
      <w:pPr>
        <w:spacing w:line="520" w:lineRule="exact"/>
        <w:ind w:firstLine="480" w:firstLineChars="200"/>
        <w:jc w:val="left"/>
        <w:rPr>
          <w:rFonts w:ascii="宋体" w:hAnsi="宋体" w:eastAsia="仿宋" w:cs="宋体"/>
          <w:color w:val="auto"/>
          <w:szCs w:val="28"/>
          <w:highlight w:val="none"/>
        </w:rPr>
      </w:pPr>
    </w:p>
    <w:p>
      <w:pPr>
        <w:spacing w:line="520" w:lineRule="exact"/>
        <w:ind w:firstLine="480" w:firstLineChars="200"/>
        <w:jc w:val="left"/>
        <w:rPr>
          <w:rFonts w:ascii="宋体" w:hAnsi="宋体" w:eastAsia="仿宋" w:cs="宋体"/>
          <w:color w:val="auto"/>
          <w:szCs w:val="28"/>
          <w:highlight w:val="none"/>
        </w:rPr>
      </w:pPr>
    </w:p>
    <w:p>
      <w:pPr>
        <w:spacing w:line="520" w:lineRule="exact"/>
        <w:jc w:val="center"/>
        <w:rPr>
          <w:rFonts w:hint="eastAsia" w:ascii="仿宋" w:hAnsi="仿宋" w:eastAsia="仿宋" w:cs="仿宋"/>
          <w:color w:val="auto"/>
          <w:sz w:val="24"/>
          <w:szCs w:val="24"/>
          <w:highlight w:val="none"/>
        </w:rPr>
        <w:sectPr>
          <w:headerReference r:id="rId3" w:type="default"/>
          <w:footerReference r:id="rId4"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宋体" w:eastAsia="仿宋"/>
          <w:b/>
          <w:color w:val="auto"/>
          <w:sz w:val="36"/>
          <w:szCs w:val="30"/>
          <w:highlight w:val="none"/>
        </w:rPr>
        <w:t>二〇二</w:t>
      </w:r>
      <w:r>
        <w:rPr>
          <w:rFonts w:hint="eastAsia" w:ascii="方正仿宋_GBK" w:hAnsi="宋体" w:eastAsia="仿宋"/>
          <w:b/>
          <w:color w:val="auto"/>
          <w:sz w:val="36"/>
          <w:szCs w:val="30"/>
          <w:highlight w:val="none"/>
          <w:lang w:eastAsia="zh-CN"/>
        </w:rPr>
        <w:t>三</w:t>
      </w:r>
      <w:r>
        <w:rPr>
          <w:rFonts w:hint="eastAsia" w:ascii="方正仿宋_GBK" w:hAnsi="宋体" w:eastAsia="仿宋"/>
          <w:b/>
          <w:color w:val="auto"/>
          <w:sz w:val="36"/>
          <w:szCs w:val="30"/>
          <w:highlight w:val="none"/>
        </w:rPr>
        <w:t>年</w:t>
      </w:r>
      <w:r>
        <w:rPr>
          <w:rFonts w:hint="eastAsia" w:ascii="方正仿宋_GBK" w:hAnsi="宋体" w:eastAsia="仿宋"/>
          <w:b/>
          <w:color w:val="auto"/>
          <w:sz w:val="36"/>
          <w:szCs w:val="30"/>
          <w:highlight w:val="none"/>
          <w:lang w:eastAsia="zh-CN"/>
        </w:rPr>
        <w:t>九</w:t>
      </w:r>
      <w:r>
        <w:rPr>
          <w:rFonts w:hint="eastAsia" w:ascii="方正仿宋_GBK" w:hAnsi="宋体" w:eastAsia="仿宋"/>
          <w:b/>
          <w:color w:val="auto"/>
          <w:sz w:val="36"/>
          <w:szCs w:val="30"/>
          <w:highlight w:val="none"/>
        </w:rPr>
        <w:t>月</w:t>
      </w:r>
      <w:bookmarkStart w:id="0" w:name="_Toc19087"/>
      <w:bookmarkStart w:id="1" w:name="_Toc29247"/>
      <w:bookmarkStart w:id="2" w:name="_Toc884"/>
      <w:bookmarkStart w:id="3" w:name="_Toc31222"/>
      <w:bookmarkStart w:id="4" w:name="_Toc10860"/>
      <w:bookmarkStart w:id="5" w:name="_Toc23082"/>
      <w:bookmarkStart w:id="6" w:name="_Toc22748"/>
      <w:bookmarkStart w:id="7" w:name="_Toc48837294"/>
      <w:bookmarkStart w:id="8" w:name="_Toc31259"/>
      <w:bookmarkStart w:id="9" w:name="_Toc26422"/>
      <w:bookmarkStart w:id="10" w:name="_Toc17236"/>
      <w:bookmarkStart w:id="11" w:name="_Toc384905063"/>
      <w:bookmarkStart w:id="12" w:name="_Toc28414"/>
      <w:bookmarkStart w:id="13" w:name="_Toc1349"/>
      <w:bookmarkStart w:id="14" w:name="_Toc15652"/>
      <w:bookmarkStart w:id="15" w:name="_Toc20400"/>
      <w:bookmarkStart w:id="16" w:name="_Toc32674"/>
      <w:bookmarkStart w:id="17" w:name="_Toc409189607"/>
      <w:bookmarkStart w:id="18" w:name="_Toc18640"/>
    </w:p>
    <w:p>
      <w:pPr>
        <w:pStyle w:val="3"/>
        <w:numPr>
          <w:ilvl w:val="0"/>
          <w:numId w:val="0"/>
        </w:numPr>
        <w:tabs>
          <w:tab w:val="clear" w:pos="3360"/>
        </w:tabs>
        <w:spacing w:before="120" w:after="120"/>
        <w:ind w:leftChars="0" w:firstLine="3352" w:firstLineChars="800"/>
        <w:jc w:val="both"/>
        <w:rPr>
          <w:rFonts w:hint="eastAsia"/>
          <w:color w:val="auto"/>
          <w:szCs w:val="22"/>
          <w:highlight w:val="none"/>
        </w:rPr>
      </w:pPr>
      <w:bookmarkStart w:id="19" w:name="_Toc28504"/>
      <w:bookmarkStart w:id="20" w:name="_Toc25124"/>
      <w:bookmarkStart w:id="21" w:name="_Toc17834"/>
      <w:bookmarkStart w:id="22" w:name="_Toc31954"/>
      <w:bookmarkStart w:id="23" w:name="_Toc9938"/>
      <w:bookmarkStart w:id="24" w:name="_Toc10856"/>
      <w:bookmarkStart w:id="25" w:name="_Toc26243"/>
      <w:bookmarkStart w:id="26" w:name="_Toc23899"/>
      <w:bookmarkStart w:id="27" w:name="_Toc6324"/>
      <w:bookmarkStart w:id="28" w:name="_Toc28927"/>
      <w:bookmarkStart w:id="29" w:name="_Toc12112"/>
      <w:r>
        <w:rPr>
          <w:rFonts w:hint="eastAsia"/>
          <w:color w:val="auto"/>
          <w:szCs w:val="22"/>
          <w:highlight w:val="none"/>
          <w:lang w:eastAsia="zh-CN"/>
        </w:rPr>
        <w:t>第一篇</w:t>
      </w:r>
      <w:r>
        <w:rPr>
          <w:rFonts w:hint="eastAsia"/>
          <w:color w:val="auto"/>
          <w:szCs w:val="22"/>
          <w:highlight w:val="none"/>
          <w:lang w:val="en-US" w:eastAsia="zh-CN"/>
        </w:rPr>
        <w:t xml:space="preserve"> </w:t>
      </w:r>
      <w:r>
        <w:rPr>
          <w:rFonts w:hint="eastAsia"/>
          <w:color w:val="auto"/>
          <w:szCs w:val="22"/>
          <w:highlight w:val="none"/>
        </w:rPr>
        <w:t>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bookmarkStart w:id="30" w:name="_Toc394390667"/>
      <w:bookmarkStart w:id="31" w:name="_Toc409189608"/>
      <w:bookmarkStart w:id="32" w:name="_Toc22913"/>
      <w:bookmarkStart w:id="33" w:name="_Toc496021253"/>
      <w:bookmarkStart w:id="34" w:name="_Toc20641"/>
      <w:bookmarkStart w:id="35" w:name="_Toc17527"/>
      <w:bookmarkStart w:id="36" w:name="_Toc12339"/>
      <w:bookmarkStart w:id="37" w:name="_Toc28983"/>
      <w:bookmarkStart w:id="38" w:name="_Toc14384"/>
      <w:bookmarkStart w:id="39" w:name="_Toc9401"/>
      <w:bookmarkStart w:id="40" w:name="_Toc12926"/>
      <w:bookmarkStart w:id="41" w:name="_Toc8724"/>
      <w:bookmarkStart w:id="42" w:name="_Toc20340"/>
      <w:bookmarkStart w:id="43" w:name="_Toc22920"/>
      <w:bookmarkStart w:id="44" w:name="_Toc8661"/>
      <w:bookmarkStart w:id="45" w:name="_Toc24733"/>
      <w:bookmarkStart w:id="46" w:name="_Toc22879"/>
      <w:bookmarkStart w:id="47" w:name="_Toc25274"/>
      <w:bookmarkStart w:id="48" w:name="_Toc48837295"/>
      <w:bookmarkStart w:id="49" w:name="_Toc7453"/>
      <w:bookmarkStart w:id="50" w:name="_Toc22466"/>
      <w:bookmarkStart w:id="51" w:name="_Toc30770"/>
      <w:bookmarkStart w:id="52" w:name="_Toc9329"/>
      <w:bookmarkStart w:id="53" w:name="_Toc14688"/>
      <w:bookmarkStart w:id="54" w:name="_Toc24079"/>
      <w:bookmarkStart w:id="55" w:name="_Toc28969"/>
      <w:bookmarkStart w:id="56" w:name="_Toc12869"/>
      <w:bookmarkStart w:id="57" w:name="_Toc25215"/>
      <w:bookmarkStart w:id="58" w:name="_Toc10904"/>
      <w:bookmarkStart w:id="59" w:name="_Toc29073"/>
      <w:r>
        <w:rPr>
          <w:rFonts w:hint="eastAsia" w:ascii="仿宋" w:hAnsi="仿宋" w:eastAsia="仿宋" w:cs="仿宋"/>
          <w:color w:val="auto"/>
        </w:rPr>
        <w:t>重庆市</w:t>
      </w:r>
      <w:r>
        <w:rPr>
          <w:rFonts w:hint="eastAsia" w:ascii="仿宋" w:hAnsi="仿宋" w:eastAsia="仿宋" w:cs="仿宋"/>
          <w:color w:val="auto"/>
          <w:lang w:eastAsia="zh-CN"/>
        </w:rPr>
        <w:t>巴南</w:t>
      </w:r>
      <w:r>
        <w:rPr>
          <w:rFonts w:hint="eastAsia" w:ascii="仿宋" w:hAnsi="仿宋" w:eastAsia="仿宋" w:cs="仿宋"/>
          <w:color w:val="auto"/>
        </w:rPr>
        <w:t>区</w:t>
      </w:r>
      <w:r>
        <w:rPr>
          <w:rFonts w:hint="eastAsia" w:ascii="仿宋" w:hAnsi="仿宋" w:eastAsia="仿宋" w:cs="仿宋"/>
          <w:color w:val="auto"/>
          <w:lang w:eastAsia="zh-CN"/>
        </w:rPr>
        <w:t>第二人民医院</w:t>
      </w:r>
      <w:r>
        <w:rPr>
          <w:rFonts w:hint="eastAsia" w:ascii="仿宋" w:hAnsi="仿宋" w:eastAsia="仿宋" w:cs="仿宋"/>
          <w:color w:val="auto"/>
        </w:rPr>
        <w:t>对</w:t>
      </w:r>
      <w:r>
        <w:rPr>
          <w:rFonts w:hint="eastAsia" w:ascii="仿宋" w:hAnsi="仿宋" w:eastAsia="仿宋" w:cs="仿宋"/>
          <w:color w:val="auto"/>
          <w:lang w:eastAsia="zh-CN"/>
        </w:rPr>
        <w:t>三号楼</w:t>
      </w:r>
      <w:r>
        <w:rPr>
          <w:rFonts w:hint="eastAsia" w:ascii="仿宋" w:hAnsi="仿宋" w:eastAsia="仿宋" w:cs="仿宋"/>
          <w:color w:val="auto"/>
          <w:lang w:val="en-US" w:eastAsia="zh-CN"/>
        </w:rPr>
        <w:t>内科序列、妇产科文化建设设计与制作</w:t>
      </w:r>
      <w:r>
        <w:rPr>
          <w:rFonts w:hint="eastAsia" w:ascii="仿宋" w:hAnsi="仿宋" w:eastAsia="仿宋" w:cs="仿宋"/>
          <w:color w:val="auto"/>
        </w:rPr>
        <w:t>项目以</w:t>
      </w:r>
      <w:r>
        <w:rPr>
          <w:rFonts w:hint="eastAsia" w:ascii="仿宋" w:hAnsi="仿宋" w:eastAsia="仿宋" w:cs="仿宋"/>
          <w:color w:val="auto"/>
          <w:lang w:eastAsia="zh-CN"/>
        </w:rPr>
        <w:t>竞争性磋商</w:t>
      </w:r>
      <w:r>
        <w:rPr>
          <w:rFonts w:hint="eastAsia" w:ascii="仿宋" w:hAnsi="仿宋" w:eastAsia="仿宋" w:cs="仿宋"/>
          <w:color w:val="auto"/>
        </w:rPr>
        <w:t>方式实行采购，欢迎有资格的投标人前来参与</w:t>
      </w:r>
      <w:r>
        <w:rPr>
          <w:rFonts w:hint="eastAsia" w:ascii="仿宋" w:hAnsi="仿宋" w:eastAsia="仿宋" w:cs="仿宋"/>
          <w:color w:val="auto"/>
          <w:lang w:eastAsia="zh-CN"/>
        </w:rPr>
        <w:t>磋商</w:t>
      </w:r>
      <w:r>
        <w:rPr>
          <w:rFonts w:hint="eastAsia" w:ascii="仿宋" w:hAnsi="仿宋" w:eastAsia="仿宋" w:cs="仿宋"/>
          <w:color w:val="auto"/>
        </w:rPr>
        <w:t>。</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w:t>
      </w:r>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b/>
          <w:bCs/>
          <w:color w:val="auto"/>
          <w:szCs w:val="28"/>
          <w:highlight w:val="none"/>
        </w:rPr>
        <w:t>竞争性磋商内容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25"/>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7"/>
        <w:gridCol w:w="1709"/>
        <w:gridCol w:w="13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2577"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rPr>
            </w:pPr>
            <w:bookmarkStart w:id="60" w:name="_Toc16154"/>
            <w:bookmarkStart w:id="61" w:name="_Toc25113"/>
            <w:bookmarkStart w:id="62" w:name="_Toc17801"/>
            <w:bookmarkStart w:id="63" w:name="_Toc28493"/>
            <w:bookmarkStart w:id="64" w:name="_Toc48837296"/>
            <w:bookmarkStart w:id="65" w:name="_Toc31035"/>
            <w:bookmarkStart w:id="66" w:name="_Toc21812"/>
            <w:bookmarkStart w:id="67" w:name="_Toc30285"/>
            <w:bookmarkStart w:id="68" w:name="_Toc24335"/>
            <w:bookmarkStart w:id="69" w:name="_Toc409189609"/>
            <w:bookmarkStart w:id="70" w:name="_Toc29325"/>
            <w:bookmarkStart w:id="71" w:name="_Toc18183"/>
            <w:bookmarkStart w:id="72" w:name="_Toc17029"/>
            <w:bookmarkStart w:id="73" w:name="_Toc15377"/>
            <w:bookmarkStart w:id="74" w:name="_Toc20059"/>
            <w:bookmarkStart w:id="75" w:name="_Toc394390668"/>
            <w:r>
              <w:rPr>
                <w:rFonts w:hint="eastAsia" w:ascii="仿宋" w:hAnsi="仿宋" w:eastAsia="仿宋" w:cs="仿宋"/>
                <w:b/>
                <w:bCs/>
                <w:color w:val="auto"/>
                <w:sz w:val="21"/>
                <w:szCs w:val="21"/>
              </w:rPr>
              <w:t>项目名称</w:t>
            </w:r>
          </w:p>
        </w:tc>
        <w:tc>
          <w:tcPr>
            <w:tcW w:w="1709"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rPr>
            </w:pPr>
            <w:r>
              <w:rPr>
                <w:rFonts w:hint="eastAsia" w:ascii="仿宋" w:hAnsi="仿宋" w:eastAsia="仿宋" w:cs="仿宋"/>
                <w:b/>
                <w:bCs/>
                <w:color w:val="auto"/>
                <w:sz w:val="21"/>
                <w:szCs w:val="21"/>
                <w:highlight w:val="none"/>
                <w:lang w:val="en-US" w:eastAsia="zh-CN"/>
              </w:rPr>
              <w:t>最高限价</w:t>
            </w:r>
            <w:r>
              <w:rPr>
                <w:rFonts w:hint="eastAsia" w:ascii="仿宋" w:hAnsi="仿宋" w:eastAsia="仿宋" w:cs="仿宋"/>
                <w:b/>
                <w:bCs/>
                <w:color w:val="auto"/>
                <w:sz w:val="21"/>
                <w:szCs w:val="21"/>
              </w:rPr>
              <w:t>（元）</w:t>
            </w:r>
          </w:p>
        </w:tc>
        <w:tc>
          <w:tcPr>
            <w:tcW w:w="1362"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rPr>
            </w:pPr>
            <w:r>
              <w:rPr>
                <w:rFonts w:hint="eastAsia" w:ascii="仿宋" w:hAnsi="仿宋" w:eastAsia="仿宋" w:cs="仿宋"/>
                <w:b/>
                <w:bCs/>
                <w:color w:val="auto"/>
                <w:sz w:val="21"/>
                <w:szCs w:val="21"/>
              </w:rPr>
              <w:t>投标保证金（万元）</w:t>
            </w:r>
          </w:p>
        </w:tc>
        <w:tc>
          <w:tcPr>
            <w:tcW w:w="1883"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b/>
                <w:bCs/>
                <w:color w:val="auto"/>
                <w:szCs w:val="18"/>
                <w:highlight w:val="none"/>
              </w:rPr>
            </w:pPr>
            <w:r>
              <w:rPr>
                <w:rFonts w:hint="eastAsia" w:ascii="仿宋" w:hAnsi="仿宋" w:eastAsia="仿宋" w:cs="仿宋"/>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2577" w:type="dxa"/>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2"/>
                <w:szCs w:val="16"/>
                <w:highlight w:val="none"/>
              </w:rPr>
            </w:pPr>
            <w:r>
              <w:rPr>
                <w:rFonts w:hint="eastAsia" w:ascii="仿宋" w:hAnsi="仿宋" w:eastAsia="仿宋" w:cs="仿宋"/>
                <w:color w:val="auto"/>
                <w:szCs w:val="20"/>
                <w:lang w:val="en-US" w:eastAsia="zh-CN"/>
              </w:rPr>
              <w:t>三号楼内科序列、妇产科文化建设设计与制作</w:t>
            </w:r>
          </w:p>
        </w:tc>
        <w:tc>
          <w:tcPr>
            <w:tcW w:w="1709" w:type="dxa"/>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2"/>
                <w:szCs w:val="16"/>
                <w:highlight w:val="none"/>
                <w:lang w:val="en-US" w:eastAsia="zh-CN"/>
              </w:rPr>
            </w:pPr>
            <w:r>
              <w:rPr>
                <w:rFonts w:hint="eastAsia" w:ascii="仿宋" w:hAnsi="仿宋" w:eastAsia="仿宋" w:cs="仿宋"/>
                <w:color w:val="auto"/>
                <w:sz w:val="24"/>
                <w:szCs w:val="24"/>
                <w:lang w:val="en-US" w:eastAsia="zh-CN"/>
              </w:rPr>
              <w:t>168623.00</w:t>
            </w:r>
          </w:p>
        </w:tc>
        <w:tc>
          <w:tcPr>
            <w:tcW w:w="1362"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color w:val="auto"/>
                <w:sz w:val="22"/>
                <w:szCs w:val="16"/>
                <w:highlight w:val="none"/>
                <w:lang w:val="en-US" w:eastAsia="zh-CN"/>
              </w:rPr>
            </w:pPr>
            <w:r>
              <w:rPr>
                <w:rFonts w:hint="eastAsia" w:ascii="仿宋" w:hAnsi="仿宋" w:eastAsia="仿宋" w:cs="仿宋"/>
                <w:color w:val="auto"/>
                <w:sz w:val="21"/>
                <w:szCs w:val="21"/>
                <w:lang w:val="en-US" w:eastAsia="zh-CN"/>
              </w:rPr>
              <w:t>无</w:t>
            </w:r>
          </w:p>
        </w:tc>
        <w:tc>
          <w:tcPr>
            <w:tcW w:w="1883" w:type="dxa"/>
            <w:vAlign w:val="center"/>
          </w:tcPr>
          <w:p>
            <w:pPr>
              <w:keepNext w:val="0"/>
              <w:keepLines w:val="0"/>
              <w:pageBreakBefore w:val="0"/>
              <w:widowControl w:val="0"/>
              <w:suppressLineNumbers w:val="0"/>
              <w:suppressAutoHyphens w:val="0"/>
              <w:spacing w:before="0" w:beforeAutospacing="0" w:after="0" w:afterAutospacing="0" w:line="280" w:lineRule="exact"/>
              <w:ind w:left="0" w:right="0"/>
              <w:jc w:val="center"/>
              <w:rPr>
                <w:rFonts w:hint="eastAsia" w:ascii="仿宋" w:hAnsi="仿宋" w:eastAsia="仿宋" w:cs="仿宋"/>
                <w:color w:val="auto"/>
                <w:sz w:val="22"/>
                <w:szCs w:val="16"/>
                <w:highlight w:val="none"/>
                <w:lang w:val="en-US" w:eastAsia="zh-CN"/>
              </w:rPr>
            </w:pPr>
          </w:p>
        </w:tc>
      </w:tr>
    </w:tbl>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76" w:name="_Toc112"/>
      <w:bookmarkStart w:id="77" w:name="_Toc24696"/>
      <w:bookmarkStart w:id="78" w:name="_Toc29226"/>
      <w:bookmarkStart w:id="79" w:name="_Toc3588"/>
      <w:bookmarkStart w:id="80" w:name="_Toc1319"/>
      <w:bookmarkStart w:id="81" w:name="_Toc5178"/>
      <w:bookmarkStart w:id="82" w:name="_Toc19222"/>
      <w:bookmarkStart w:id="83" w:name="_Toc21142"/>
      <w:bookmarkStart w:id="84" w:name="_Toc12117"/>
      <w:bookmarkStart w:id="85" w:name="_Toc18246"/>
      <w:bookmarkStart w:id="86" w:name="_Toc17952"/>
      <w:bookmarkStart w:id="87" w:name="_Toc23138"/>
      <w:bookmarkStart w:id="88" w:name="_Toc31943"/>
      <w:r>
        <w:rPr>
          <w:rFonts w:hint="eastAsia" w:ascii="仿宋" w:hAnsi="仿宋" w:eastAsia="仿宋" w:cs="仿宋"/>
          <w:b/>
          <w:bCs/>
          <w:color w:val="auto"/>
          <w:szCs w:val="28"/>
          <w:highlight w:val="none"/>
        </w:rPr>
        <w:t>二、资金来源</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bookmarkStart w:id="89" w:name="_Toc19744"/>
      <w:bookmarkStart w:id="90" w:name="_Toc13049"/>
      <w:bookmarkStart w:id="91" w:name="_Toc48837297"/>
      <w:bookmarkStart w:id="92" w:name="_Toc14169"/>
      <w:bookmarkStart w:id="93" w:name="_Toc685"/>
      <w:bookmarkStart w:id="94" w:name="_Toc22134"/>
      <w:bookmarkStart w:id="95" w:name="_Toc32431"/>
      <w:bookmarkStart w:id="96" w:name="_Toc25413"/>
      <w:bookmarkStart w:id="97" w:name="_Toc31349"/>
      <w:bookmarkStart w:id="98" w:name="_Toc21671"/>
      <w:bookmarkStart w:id="99" w:name="_Toc409189610"/>
      <w:bookmarkStart w:id="100" w:name="_Toc25550"/>
      <w:bookmarkStart w:id="101" w:name="_Toc19995"/>
      <w:bookmarkStart w:id="102" w:name="_Toc258"/>
      <w:bookmarkStart w:id="103" w:name="_Toc26038"/>
      <w:bookmarkStart w:id="104" w:name="_Toc30163"/>
      <w:bookmarkStart w:id="105" w:name="_Toc30892"/>
      <w:bookmarkStart w:id="106" w:name="_Toc23551"/>
      <w:bookmarkStart w:id="107" w:name="_Toc31670"/>
      <w:bookmarkStart w:id="108" w:name="_Toc10636"/>
      <w:bookmarkStart w:id="109" w:name="_Toc394390669"/>
      <w:bookmarkStart w:id="110" w:name="_Toc22463"/>
      <w:bookmarkStart w:id="111" w:name="_Toc6307"/>
      <w:bookmarkStart w:id="112" w:name="_Toc16524"/>
      <w:bookmarkStart w:id="113" w:name="_Toc16627"/>
      <w:bookmarkStart w:id="114" w:name="_Toc3717"/>
      <w:bookmarkStart w:id="115" w:name="_Toc17739"/>
      <w:bookmarkStart w:id="116" w:name="_Toc10858"/>
      <w:bookmarkStart w:id="117" w:name="_Toc21414"/>
      <w:r>
        <w:rPr>
          <w:rFonts w:hint="eastAsia" w:ascii="仿宋" w:hAnsi="仿宋" w:eastAsia="仿宋" w:cs="仿宋"/>
          <w:color w:val="auto"/>
          <w:lang w:eastAsia="zh-CN"/>
        </w:rPr>
        <w:t>自筹</w:t>
      </w:r>
      <w:r>
        <w:rPr>
          <w:rFonts w:hint="eastAsia" w:ascii="仿宋" w:hAnsi="仿宋" w:eastAsia="仿宋" w:cs="仿宋"/>
          <w:color w:val="auto"/>
        </w:rPr>
        <w:t>资金</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cs="仿宋"/>
          <w:b/>
          <w:bCs/>
          <w:color w:val="auto"/>
          <w:szCs w:val="28"/>
          <w:highlight w:val="none"/>
        </w:rPr>
        <w:t>供应商资格条件</w:t>
      </w:r>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bookmarkStart w:id="118" w:name="_Toc12349"/>
      <w:bookmarkStart w:id="119" w:name="_Toc10223"/>
      <w:bookmarkStart w:id="120" w:name="_Toc6106"/>
      <w:bookmarkStart w:id="121" w:name="_Toc4736"/>
      <w:bookmarkStart w:id="122" w:name="_Toc19479"/>
      <w:bookmarkStart w:id="123" w:name="_Toc31947"/>
      <w:bookmarkStart w:id="124" w:name="_Toc7978"/>
      <w:bookmarkStart w:id="125" w:name="_Toc3030"/>
      <w:bookmarkStart w:id="126" w:name="_Toc15713"/>
      <w:bookmarkStart w:id="127" w:name="_Toc28595"/>
      <w:bookmarkStart w:id="128" w:name="_Toc3317"/>
      <w:bookmarkStart w:id="129" w:name="_Toc14905"/>
      <w:bookmarkStart w:id="130" w:name="_Toc22648"/>
      <w:bookmarkStart w:id="131" w:name="_Toc28826"/>
      <w:bookmarkStart w:id="132" w:name="_Toc9364"/>
      <w:bookmarkStart w:id="133" w:name="_Toc7718"/>
      <w:bookmarkStart w:id="134" w:name="_Toc3161"/>
      <w:bookmarkStart w:id="135" w:name="_Toc23925"/>
      <w:bookmarkStart w:id="136" w:name="_Toc7370"/>
      <w:bookmarkStart w:id="137" w:name="_Toc18238"/>
      <w:bookmarkStart w:id="138" w:name="_Toc18923"/>
      <w:bookmarkStart w:id="139" w:name="_Toc409189611"/>
      <w:bookmarkStart w:id="140" w:name="_Toc7315"/>
      <w:bookmarkStart w:id="141" w:name="_Toc26381"/>
      <w:bookmarkStart w:id="142" w:name="_Toc9628"/>
      <w:bookmarkStart w:id="143" w:name="_Toc27155"/>
      <w:bookmarkStart w:id="144" w:name="_Toc48837298"/>
      <w:bookmarkStart w:id="145" w:name="_Toc28624"/>
      <w:r>
        <w:rPr>
          <w:rFonts w:hint="eastAsia" w:ascii="仿宋" w:hAnsi="仿宋" w:eastAsia="仿宋" w:cs="仿宋"/>
          <w:color w:val="auto"/>
        </w:rPr>
        <w:t>合格投标人应首先符合政府采购法第二十二条规定的基本条件，同时符合根据该项目特点设置的特定资格条件。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（一）基本资格条件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1.具有独立承担民事责任的能力；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6.法律、行政法规规定的其他条件。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二</w:t>
      </w:r>
      <w:r>
        <w:rPr>
          <w:rFonts w:hint="eastAsia" w:ascii="仿宋" w:hAnsi="仿宋" w:eastAsia="仿宋" w:cs="仿宋"/>
          <w:color w:val="auto"/>
        </w:rPr>
        <w:t>）特定资格条件（复印件加盖投标人鲜章）</w:t>
      </w:r>
    </w:p>
    <w:p>
      <w:pPr>
        <w:keepNext w:val="0"/>
        <w:keepLines w:val="0"/>
        <w:pageBreakBefore w:val="0"/>
        <w:widowControl w:val="0"/>
        <w:kinsoku/>
        <w:wordWrap/>
        <w:overflowPunct/>
        <w:topLinePunct w:val="0"/>
        <w:autoSpaceDE/>
        <w:autoSpaceDN/>
        <w:bidi w:val="0"/>
        <w:adjustRightInd/>
        <w:snapToGrid/>
        <w:spacing w:before="156" w:after="156" w:line="520" w:lineRule="exact"/>
        <w:ind w:firstLine="438" w:firstLineChars="200"/>
        <w:jc w:val="left"/>
        <w:textAlignment w:val="auto"/>
        <w:outlineLvl w:val="1"/>
        <w:rPr>
          <w:rFonts w:hint="eastAsia" w:ascii="仿宋" w:hAnsi="仿宋" w:eastAsia="仿宋" w:cs="仿宋"/>
          <w:b/>
          <w:bCs/>
          <w:color w:val="auto"/>
          <w:szCs w:val="28"/>
          <w:highlight w:val="none"/>
        </w:rPr>
      </w:pPr>
      <w:r>
        <w:rPr>
          <w:rFonts w:hint="eastAsia" w:ascii="仿宋" w:hAnsi="仿宋" w:eastAsia="仿宋" w:cs="仿宋"/>
          <w:color w:val="auto"/>
          <w:szCs w:val="28"/>
          <w:lang w:val="en-US" w:eastAsia="zh-CN"/>
        </w:rPr>
        <w:t>无。</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四、磋商有关说明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bookmarkStart w:id="146" w:name="_Toc22003"/>
      <w:bookmarkStart w:id="147" w:name="_Toc25212"/>
      <w:bookmarkStart w:id="148" w:name="_Toc22341"/>
      <w:bookmarkStart w:id="149" w:name="_Toc5422"/>
      <w:bookmarkStart w:id="150" w:name="_Toc32097"/>
      <w:bookmarkStart w:id="151" w:name="_Toc495592637"/>
      <w:bookmarkStart w:id="152" w:name="_Toc18755"/>
      <w:bookmarkStart w:id="153" w:name="_Toc17822"/>
      <w:bookmarkStart w:id="154" w:name="_Toc30895"/>
      <w:bookmarkStart w:id="155" w:name="_Toc6334"/>
      <w:bookmarkStart w:id="156" w:name="_Toc30517"/>
      <w:bookmarkStart w:id="157" w:name="_Toc16771"/>
      <w:bookmarkStart w:id="158" w:name="_Toc27699"/>
      <w:bookmarkStart w:id="159" w:name="_Toc31929"/>
      <w:bookmarkStart w:id="160" w:name="_Toc14236"/>
      <w:bookmarkStart w:id="161" w:name="_Toc16646"/>
      <w:bookmarkStart w:id="162" w:name="_Toc13103"/>
      <w:bookmarkStart w:id="163" w:name="_Toc1735"/>
      <w:bookmarkStart w:id="164" w:name="_Toc28412"/>
      <w:bookmarkStart w:id="165" w:name="_Toc21405"/>
      <w:bookmarkStart w:id="166" w:name="_Toc13754"/>
      <w:bookmarkStart w:id="167" w:name="_Toc5759"/>
      <w:bookmarkStart w:id="168" w:name="_Toc27609"/>
      <w:bookmarkStart w:id="169" w:name="_Toc1625"/>
      <w:bookmarkStart w:id="170" w:name="_Toc493506283"/>
      <w:bookmarkStart w:id="171" w:name="_Toc48837299"/>
      <w:bookmarkStart w:id="172" w:name="_Toc8757"/>
      <w:bookmarkStart w:id="173" w:name="_Toc1195"/>
      <w:bookmarkStart w:id="174" w:name="_Toc7842"/>
      <w:r>
        <w:rPr>
          <w:rFonts w:hint="eastAsia" w:ascii="仿宋" w:hAnsi="仿宋" w:eastAsia="仿宋" w:cs="仿宋"/>
          <w:color w:val="auto"/>
        </w:rPr>
        <w:t>（</w:t>
      </w:r>
      <w:r>
        <w:rPr>
          <w:rFonts w:hint="eastAsia" w:ascii="仿宋" w:hAnsi="仿宋" w:eastAsia="仿宋" w:cs="仿宋"/>
          <w:color w:val="auto"/>
          <w:lang w:eastAsia="zh-CN"/>
        </w:rPr>
        <w:t>一</w:t>
      </w:r>
      <w:r>
        <w:rPr>
          <w:rFonts w:hint="eastAsia" w:ascii="仿宋" w:hAnsi="仿宋" w:eastAsia="仿宋" w:cs="仿宋"/>
          <w:color w:val="auto"/>
        </w:rPr>
        <w:t>）凡有意参加</w:t>
      </w:r>
      <w:r>
        <w:rPr>
          <w:rFonts w:hint="eastAsia" w:ascii="仿宋" w:hAnsi="仿宋" w:eastAsia="仿宋" w:cs="仿宋"/>
          <w:color w:val="auto"/>
          <w:lang w:eastAsia="zh-CN"/>
        </w:rPr>
        <w:t>磋商</w:t>
      </w:r>
      <w:r>
        <w:rPr>
          <w:rFonts w:hint="eastAsia" w:ascii="仿宋" w:hAnsi="仿宋" w:eastAsia="仿宋" w:cs="仿宋"/>
          <w:color w:val="auto"/>
        </w:rPr>
        <w:t>的投标人，请自行在重庆市</w:t>
      </w:r>
      <w:r>
        <w:rPr>
          <w:rFonts w:hint="eastAsia" w:ascii="仿宋" w:hAnsi="仿宋" w:eastAsia="仿宋" w:cs="仿宋"/>
          <w:color w:val="auto"/>
          <w:lang w:eastAsia="zh-CN"/>
        </w:rPr>
        <w:t>巴南区第二人民医院官</w:t>
      </w:r>
      <w:r>
        <w:rPr>
          <w:rFonts w:hint="eastAsia" w:ascii="仿宋" w:hAnsi="仿宋" w:eastAsia="仿宋" w:cs="仿宋"/>
          <w:color w:val="auto"/>
        </w:rPr>
        <w:t>网上下载本项目</w:t>
      </w:r>
      <w:r>
        <w:rPr>
          <w:rFonts w:hint="eastAsia" w:ascii="仿宋" w:hAnsi="仿宋" w:eastAsia="仿宋" w:cs="仿宋"/>
          <w:color w:val="auto"/>
          <w:lang w:eastAsia="zh-CN"/>
        </w:rPr>
        <w:t>竞争性磋商</w:t>
      </w:r>
      <w:r>
        <w:rPr>
          <w:rFonts w:hint="eastAsia" w:ascii="仿宋" w:hAnsi="仿宋" w:eastAsia="仿宋" w:cs="仿宋"/>
          <w:color w:val="auto"/>
        </w:rPr>
        <w:t>文件以及补遗等</w:t>
      </w:r>
      <w:r>
        <w:rPr>
          <w:rFonts w:hint="eastAsia" w:ascii="仿宋" w:hAnsi="仿宋" w:eastAsia="仿宋" w:cs="仿宋"/>
          <w:color w:val="auto"/>
          <w:lang w:eastAsia="zh-CN"/>
        </w:rPr>
        <w:t>磋商</w:t>
      </w:r>
      <w:r>
        <w:rPr>
          <w:rFonts w:hint="eastAsia" w:ascii="仿宋" w:hAnsi="仿宋" w:eastAsia="仿宋" w:cs="仿宋"/>
          <w:color w:val="auto"/>
        </w:rPr>
        <w:t>前公布的所有项目资料，无论投标人领取或下载与否，均视为已知晓所有</w:t>
      </w:r>
      <w:r>
        <w:rPr>
          <w:rFonts w:hint="eastAsia" w:ascii="仿宋" w:hAnsi="仿宋" w:eastAsia="仿宋" w:cs="仿宋"/>
          <w:color w:val="auto"/>
          <w:lang w:eastAsia="zh-CN"/>
        </w:rPr>
        <w:t>磋商</w:t>
      </w:r>
      <w:r>
        <w:rPr>
          <w:rFonts w:hint="eastAsia" w:ascii="仿宋" w:hAnsi="仿宋" w:eastAsia="仿宋" w:cs="仿宋"/>
          <w:color w:val="auto"/>
        </w:rPr>
        <w:t>实质性要求内容。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二</w:t>
      </w:r>
      <w:r>
        <w:rPr>
          <w:rFonts w:hint="eastAsia" w:ascii="仿宋" w:hAnsi="仿宋" w:eastAsia="仿宋" w:cs="仿宋"/>
          <w:color w:val="auto"/>
        </w:rPr>
        <w:t>）</w:t>
      </w:r>
      <w:r>
        <w:rPr>
          <w:rFonts w:hint="eastAsia" w:ascii="仿宋" w:hAnsi="仿宋" w:eastAsia="仿宋" w:cs="仿宋"/>
          <w:color w:val="auto"/>
          <w:lang w:eastAsia="zh-CN"/>
        </w:rPr>
        <w:t>磋商</w:t>
      </w:r>
      <w:r>
        <w:rPr>
          <w:rFonts w:hint="eastAsia" w:ascii="仿宋" w:hAnsi="仿宋" w:eastAsia="仿宋" w:cs="仿宋"/>
          <w:color w:val="auto"/>
        </w:rPr>
        <w:t>文件公告期限：</w:t>
      </w:r>
      <w:r>
        <w:rPr>
          <w:rFonts w:hint="eastAsia" w:ascii="仿宋" w:hAnsi="仿宋" w:eastAsia="仿宋" w:cs="仿宋"/>
          <w:color w:val="auto"/>
          <w:lang w:val="en-US" w:eastAsia="zh-CN"/>
        </w:rPr>
        <w:t>2023</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21</w:t>
      </w:r>
      <w:r>
        <w:rPr>
          <w:rFonts w:hint="eastAsia" w:ascii="仿宋" w:hAnsi="仿宋" w:eastAsia="仿宋" w:cs="仿宋"/>
          <w:color w:val="auto"/>
        </w:rPr>
        <w:t>日——</w:t>
      </w:r>
      <w:r>
        <w:rPr>
          <w:rFonts w:hint="eastAsia" w:ascii="仿宋" w:hAnsi="仿宋" w:eastAsia="仿宋" w:cs="仿宋"/>
          <w:color w:val="auto"/>
          <w:lang w:val="en-US" w:eastAsia="zh-CN"/>
        </w:rPr>
        <w:t>2022</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27</w:t>
      </w:r>
      <w:r>
        <w:rPr>
          <w:rFonts w:hint="eastAsia" w:ascii="仿宋" w:hAnsi="仿宋" w:eastAsia="仿宋" w:cs="仿宋"/>
          <w:color w:val="auto"/>
        </w:rPr>
        <w:t>日</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lang w:eastAsia="zh-CN"/>
        </w:rPr>
        <w:t>（三</w:t>
      </w:r>
      <w:r>
        <w:rPr>
          <w:rFonts w:hint="eastAsia" w:ascii="仿宋" w:hAnsi="仿宋" w:eastAsia="仿宋" w:cs="仿宋"/>
          <w:color w:val="auto"/>
        </w:rPr>
        <w:t>）投标人须满足以下</w:t>
      </w:r>
      <w:r>
        <w:rPr>
          <w:rFonts w:hint="eastAsia" w:ascii="仿宋" w:hAnsi="仿宋" w:eastAsia="仿宋" w:cs="仿宋"/>
          <w:color w:val="auto"/>
          <w:lang w:eastAsia="zh-CN"/>
        </w:rPr>
        <w:t>两</w:t>
      </w:r>
      <w:r>
        <w:rPr>
          <w:rFonts w:hint="eastAsia" w:ascii="仿宋" w:hAnsi="仿宋" w:eastAsia="仿宋" w:cs="仿宋"/>
          <w:color w:val="auto"/>
        </w:rPr>
        <w:t>种要件，其响应文件才被接受：</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1、按时递交了响应文件；</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2、按时报名签到；</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rPr>
        <w:t>（五）递交响应文件地点：</w:t>
      </w:r>
      <w:r>
        <w:rPr>
          <w:rFonts w:hint="eastAsia" w:ascii="仿宋" w:hAnsi="仿宋" w:eastAsia="仿宋" w:cs="仿宋"/>
          <w:color w:val="auto"/>
          <w:lang w:eastAsia="zh-CN"/>
        </w:rPr>
        <w:t>重庆市巴南区第二人民医院采购办</w:t>
      </w:r>
      <w:r>
        <w:rPr>
          <w:rFonts w:hint="eastAsia" w:ascii="仿宋" w:hAnsi="仿宋" w:eastAsia="仿宋" w:cs="仿宋"/>
          <w:color w:val="auto"/>
        </w:rPr>
        <w:t>（</w:t>
      </w:r>
      <w:r>
        <w:rPr>
          <w:rFonts w:hint="eastAsia" w:ascii="仿宋" w:hAnsi="仿宋" w:eastAsia="仿宋" w:cs="仿宋"/>
          <w:color w:val="auto"/>
          <w:lang w:eastAsia="zh-CN"/>
        </w:rPr>
        <w:t>重庆市巴南区花溪街道花溪新村</w:t>
      </w:r>
      <w:r>
        <w:rPr>
          <w:rFonts w:hint="eastAsia" w:ascii="仿宋" w:hAnsi="仿宋" w:eastAsia="仿宋" w:cs="仿宋"/>
          <w:color w:val="auto"/>
          <w:lang w:val="en-US" w:eastAsia="zh-CN"/>
        </w:rPr>
        <w:t>18</w:t>
      </w:r>
      <w:r>
        <w:rPr>
          <w:rFonts w:hint="eastAsia" w:ascii="仿宋" w:hAnsi="仿宋" w:eastAsia="仿宋" w:cs="仿宋"/>
          <w:color w:val="auto"/>
        </w:rPr>
        <w:t>号）</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before="156" w:after="156" w:line="520" w:lineRule="exact"/>
        <w:ind w:firstLine="438" w:firstLineChars="200"/>
        <w:jc w:val="left"/>
        <w:textAlignment w:val="auto"/>
        <w:outlineLvl w:val="1"/>
        <w:rPr>
          <w:rFonts w:hint="eastAsia" w:ascii="仿宋" w:hAnsi="仿宋" w:eastAsia="仿宋" w:cs="仿宋"/>
          <w:color w:val="auto"/>
          <w:lang w:eastAsia="zh-CN"/>
        </w:rPr>
      </w:pPr>
      <w:r>
        <w:rPr>
          <w:rFonts w:hint="eastAsia" w:ascii="仿宋" w:hAnsi="仿宋" w:eastAsia="仿宋" w:cs="仿宋"/>
          <w:color w:val="auto"/>
        </w:rPr>
        <w:t>（六）响应文件递交起止时间：</w:t>
      </w:r>
      <w:r>
        <w:rPr>
          <w:rFonts w:hint="eastAsia" w:ascii="仿宋" w:hAnsi="仿宋" w:eastAsia="仿宋" w:cs="仿宋"/>
          <w:color w:val="auto"/>
          <w:lang w:val="en-US" w:eastAsia="zh-CN"/>
        </w:rPr>
        <w:t>2023</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27</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0 ——</w:t>
      </w:r>
      <w:r>
        <w:rPr>
          <w:rFonts w:hint="eastAsia" w:ascii="仿宋" w:hAnsi="仿宋" w:eastAsia="仿宋" w:cs="仿宋"/>
          <w:color w:val="auto"/>
          <w:lang w:val="en-US" w:eastAsia="zh-CN"/>
        </w:rPr>
        <w:t>15</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w:t>
      </w:r>
      <w:r>
        <w:rPr>
          <w:rFonts w:hint="eastAsia" w:ascii="仿宋" w:hAnsi="仿宋" w:eastAsia="仿宋" w:cs="仿宋"/>
          <w:color w:val="auto"/>
          <w:lang w:eastAsia="zh-CN"/>
        </w:rPr>
        <w:t>时；</w:t>
      </w:r>
      <w:r>
        <w:rPr>
          <w:rFonts w:hint="eastAsia" w:ascii="仿宋" w:hAnsi="仿宋" w:eastAsia="仿宋" w:cs="仿宋"/>
          <w:color w:val="auto"/>
        </w:rPr>
        <w:t>响应文件开启时间：</w:t>
      </w:r>
      <w:r>
        <w:rPr>
          <w:rFonts w:hint="eastAsia" w:ascii="仿宋" w:hAnsi="仿宋" w:eastAsia="仿宋" w:cs="仿宋"/>
          <w:color w:val="auto"/>
          <w:lang w:val="en-US" w:eastAsia="zh-CN"/>
        </w:rPr>
        <w:t>2022</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27</w:t>
      </w:r>
      <w:r>
        <w:rPr>
          <w:rFonts w:hint="eastAsia" w:ascii="仿宋" w:hAnsi="仿宋" w:eastAsia="仿宋" w:cs="仿宋"/>
          <w:color w:val="auto"/>
        </w:rPr>
        <w:t>日</w:t>
      </w:r>
      <w:r>
        <w:rPr>
          <w:rFonts w:hint="eastAsia" w:ascii="仿宋" w:hAnsi="仿宋" w:eastAsia="仿宋" w:cs="仿宋"/>
          <w:color w:val="auto"/>
          <w:lang w:val="en-US" w:eastAsia="zh-CN"/>
        </w:rPr>
        <w:t>15</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w:t>
      </w:r>
      <w:r>
        <w:rPr>
          <w:rFonts w:hint="eastAsia" w:ascii="仿宋" w:hAnsi="仿宋" w:eastAsia="仿宋" w:cs="仿宋"/>
          <w:color w:val="auto"/>
          <w:lang w:eastAsia="zh-CN"/>
        </w:rPr>
        <w:t>。</w:t>
      </w:r>
    </w:p>
    <w:p>
      <w:pPr>
        <w:spacing w:before="156" w:after="156" w:line="520" w:lineRule="exact"/>
        <w:ind w:firstLine="438" w:firstLineChars="200"/>
        <w:jc w:val="left"/>
        <w:outlineLvl w:val="1"/>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五、</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仿宋" w:hAnsi="仿宋" w:eastAsia="仿宋" w:cs="仿宋"/>
          <w:b/>
          <w:bCs/>
          <w:color w:val="auto"/>
          <w:szCs w:val="28"/>
          <w:highlight w:val="none"/>
          <w:lang w:eastAsia="zh-CN"/>
        </w:rPr>
        <w:t>投标保证金</w:t>
      </w:r>
    </w:p>
    <w:p>
      <w:pPr>
        <w:pStyle w:val="2"/>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lang w:val="en-US" w:eastAsia="zh-CN" w:bidi="ar-SA"/>
        </w:rPr>
        <w:t>无</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175" w:name="_Toc7162"/>
      <w:bookmarkStart w:id="176" w:name="_Toc12289"/>
      <w:bookmarkStart w:id="177" w:name="_Toc28126"/>
      <w:bookmarkStart w:id="178" w:name="_Toc27985"/>
      <w:bookmarkStart w:id="179" w:name="_Toc14448"/>
      <w:bookmarkStart w:id="180" w:name="_Toc1558"/>
      <w:bookmarkStart w:id="181" w:name="_Toc5685"/>
      <w:bookmarkStart w:id="182" w:name="_Toc23216"/>
      <w:bookmarkStart w:id="183" w:name="_Toc13392"/>
      <w:bookmarkStart w:id="184" w:name="_Toc9050"/>
      <w:bookmarkStart w:id="185" w:name="_Toc12036"/>
      <w:bookmarkStart w:id="186" w:name="_Toc6190"/>
      <w:bookmarkStart w:id="187" w:name="_Toc21143"/>
      <w:bookmarkStart w:id="188" w:name="_Toc13480"/>
      <w:bookmarkStart w:id="189" w:name="_Toc13814"/>
      <w:bookmarkStart w:id="190" w:name="_Toc3572"/>
      <w:bookmarkStart w:id="191" w:name="_Toc4707"/>
      <w:bookmarkStart w:id="192" w:name="_Toc32044"/>
      <w:bookmarkStart w:id="193" w:name="_Toc13173"/>
      <w:bookmarkStart w:id="194" w:name="_Toc48837300"/>
      <w:bookmarkStart w:id="195" w:name="_Toc7973"/>
      <w:bookmarkStart w:id="196" w:name="_Toc15052"/>
      <w:bookmarkStart w:id="197" w:name="_Toc7003"/>
      <w:bookmarkStart w:id="198" w:name="_Toc7014"/>
      <w:bookmarkStart w:id="199" w:name="_Toc14132"/>
      <w:bookmarkStart w:id="200" w:name="_Toc14053"/>
      <w:bookmarkStart w:id="201" w:name="_Toc22561"/>
      <w:bookmarkStart w:id="202" w:name="_Toc409189614"/>
      <w:r>
        <w:rPr>
          <w:rFonts w:hint="eastAsia" w:ascii="仿宋" w:hAnsi="仿宋" w:eastAsia="仿宋" w:cs="仿宋"/>
          <w:b/>
          <w:bCs/>
          <w:color w:val="auto"/>
          <w:szCs w:val="28"/>
          <w:highlight w:val="none"/>
        </w:rPr>
        <w:t>六、磋商有关规定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（一）单位负责人为同一人或者存在直接控股、管理关系的不同供应商，不得参加同一合同项（包）下的政府采购活动。</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（二）为采购项目提供整体设计、规范编制或者项目管理、监理、检测等服务的供应商，不得再参加该采购项目的其他采购活动。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三</w:t>
      </w:r>
      <w:r>
        <w:rPr>
          <w:rFonts w:hint="eastAsia" w:ascii="仿宋" w:hAnsi="仿宋" w:eastAsia="仿宋" w:cs="仿宋"/>
          <w:color w:val="auto"/>
        </w:rPr>
        <w:t>）超过规定时间送达或未按要求密封和标记的投标文件不予受理</w:t>
      </w:r>
      <w:r>
        <w:rPr>
          <w:rFonts w:hint="eastAsia" w:ascii="仿宋" w:hAnsi="仿宋" w:eastAsia="仿宋" w:cs="仿宋"/>
          <w:color w:val="auto"/>
          <w:lang w:eastAsia="zh-CN"/>
        </w:rPr>
        <w:t>，投标文件一经收取不予退还</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）投标人应</w:t>
      </w:r>
      <w:r>
        <w:rPr>
          <w:rFonts w:hint="eastAsia" w:ascii="仿宋" w:hAnsi="仿宋" w:eastAsia="仿宋" w:cs="仿宋"/>
          <w:color w:val="auto"/>
          <w:highlight w:val="none"/>
          <w:lang w:val="en-US" w:eastAsia="zh-CN"/>
        </w:rPr>
        <w:t>充分了解该项目实施环境，</w:t>
      </w:r>
      <w:r>
        <w:rPr>
          <w:rFonts w:hint="eastAsia" w:ascii="仿宋" w:hAnsi="仿宋" w:eastAsia="仿宋" w:cs="仿宋"/>
          <w:color w:val="auto"/>
          <w:highlight w:val="none"/>
        </w:rPr>
        <w:t>对本项目的风险和义务</w:t>
      </w:r>
      <w:r>
        <w:rPr>
          <w:rFonts w:hint="eastAsia" w:ascii="仿宋" w:hAnsi="仿宋" w:eastAsia="仿宋" w:cs="仿宋"/>
          <w:color w:val="auto"/>
          <w:highlight w:val="none"/>
          <w:lang w:val="en-US" w:eastAsia="zh-CN"/>
        </w:rPr>
        <w:t>应充分</w:t>
      </w:r>
      <w:r>
        <w:rPr>
          <w:rFonts w:hint="eastAsia" w:ascii="仿宋" w:hAnsi="仿宋" w:eastAsia="仿宋" w:cs="仿宋"/>
          <w:color w:val="auto"/>
          <w:highlight w:val="none"/>
        </w:rPr>
        <w:t>了解，并在其投标文件中</w:t>
      </w:r>
      <w:r>
        <w:rPr>
          <w:rFonts w:hint="eastAsia" w:ascii="仿宋" w:hAnsi="仿宋" w:eastAsia="仿宋" w:cs="仿宋"/>
          <w:color w:val="auto"/>
          <w:highlight w:val="none"/>
          <w:lang w:val="en-US" w:eastAsia="zh-CN"/>
        </w:rPr>
        <w:t>体现</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五</w:t>
      </w:r>
      <w:r>
        <w:rPr>
          <w:rFonts w:hint="eastAsia" w:ascii="仿宋" w:hAnsi="仿宋" w:eastAsia="仿宋" w:cs="仿宋"/>
          <w:color w:val="auto"/>
        </w:rPr>
        <w:t>）投标人自行承担参加本项目的全部费用，责任和风险。</w:t>
      </w:r>
    </w:p>
    <w:p>
      <w:pPr>
        <w:spacing w:line="400" w:lineRule="exact"/>
        <w:ind w:firstLine="438" w:firstLineChars="200"/>
        <w:rPr>
          <w:rFonts w:hint="eastAsia" w:ascii="仿宋" w:hAnsi="仿宋" w:eastAsia="仿宋" w:cs="仿宋"/>
          <w:color w:val="auto"/>
        </w:rPr>
      </w:pPr>
      <w:r>
        <w:rPr>
          <w:rFonts w:hint="eastAsia" w:ascii="仿宋" w:hAnsi="仿宋" w:eastAsia="仿宋" w:cs="仿宋"/>
          <w:color w:val="auto"/>
        </w:rPr>
        <w:t>（六）本项目不接受联合体参与磋商，否则按无效处理</w:t>
      </w:r>
      <w:r>
        <w:rPr>
          <w:rFonts w:hint="eastAsia" w:ascii="仿宋" w:hAnsi="仿宋" w:eastAsia="仿宋" w:cs="仿宋"/>
          <w:color w:val="auto"/>
          <w:lang w:eastAsia="zh-CN"/>
        </w:rPr>
        <w:t>，</w:t>
      </w:r>
      <w:r>
        <w:rPr>
          <w:rFonts w:hint="eastAsia" w:ascii="仿宋" w:hAnsi="仿宋" w:eastAsia="仿宋" w:cs="仿宋"/>
          <w:color w:val="auto"/>
        </w:rPr>
        <w:t>磋商文件中联合体组成相关条款不生效。</w:t>
      </w:r>
    </w:p>
    <w:p>
      <w:pPr>
        <w:spacing w:line="400" w:lineRule="exact"/>
        <w:ind w:firstLine="438" w:firstLineChars="200"/>
        <w:rPr>
          <w:rFonts w:hint="eastAsia" w:ascii="仿宋" w:hAnsi="仿宋" w:eastAsia="仿宋" w:cs="仿宋"/>
          <w:color w:val="auto"/>
        </w:rPr>
      </w:pPr>
      <w:r>
        <w:rPr>
          <w:rFonts w:hint="eastAsia" w:ascii="仿宋" w:hAnsi="仿宋" w:eastAsia="仿宋" w:cs="仿宋"/>
          <w:color w:val="auto"/>
        </w:rPr>
        <w:t>（七）本项目不接受合同分包，否则按无效处理。</w:t>
      </w:r>
    </w:p>
    <w:p>
      <w:pPr>
        <w:spacing w:line="520" w:lineRule="exact"/>
        <w:ind w:firstLine="438" w:firstLineChars="200"/>
        <w:jc w:val="lef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w:t>
      </w:r>
      <w:r>
        <w:rPr>
          <w:rFonts w:hint="eastAsia" w:ascii="仿宋" w:hAnsi="仿宋" w:eastAsia="仿宋" w:cs="仿宋"/>
          <w:color w:val="auto"/>
          <w:kern w:val="0"/>
          <w:szCs w:val="28"/>
          <w:highlight w:val="none"/>
          <w:lang w:eastAsia="zh-CN"/>
        </w:rPr>
        <w:t>八</w:t>
      </w:r>
      <w:r>
        <w:rPr>
          <w:rFonts w:hint="eastAsia" w:ascii="仿宋" w:hAnsi="仿宋" w:eastAsia="仿宋" w:cs="仿宋"/>
          <w:color w:val="auto"/>
          <w:kern w:val="0"/>
          <w:szCs w:val="28"/>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before="156" w:after="156" w:line="520" w:lineRule="exact"/>
        <w:ind w:firstLine="438" w:firstLineChars="200"/>
        <w:jc w:val="left"/>
        <w:outlineLvl w:val="1"/>
        <w:rPr>
          <w:rFonts w:hint="eastAsia" w:ascii="仿宋" w:hAnsi="仿宋" w:eastAsia="仿宋" w:cs="仿宋"/>
          <w:b/>
          <w:bCs/>
          <w:color w:val="auto"/>
          <w:szCs w:val="28"/>
          <w:highlight w:val="none"/>
        </w:rPr>
      </w:pPr>
      <w:bookmarkStart w:id="203" w:name="_Toc6822"/>
      <w:bookmarkStart w:id="204" w:name="_Toc48837301"/>
      <w:bookmarkStart w:id="205" w:name="_Toc16081"/>
      <w:bookmarkStart w:id="206" w:name="_Toc2063"/>
      <w:bookmarkStart w:id="207" w:name="_Toc29353"/>
      <w:bookmarkStart w:id="208" w:name="_Toc22193"/>
      <w:bookmarkStart w:id="209" w:name="_Toc30465"/>
      <w:bookmarkStart w:id="210" w:name="_Toc12603"/>
      <w:bookmarkStart w:id="211" w:name="_Toc27061"/>
      <w:bookmarkStart w:id="212" w:name="_Toc5673"/>
      <w:bookmarkStart w:id="213" w:name="_Toc30472"/>
      <w:bookmarkStart w:id="214" w:name="_Toc18960"/>
      <w:bookmarkStart w:id="215" w:name="_Toc333"/>
      <w:bookmarkStart w:id="216" w:name="_Toc1985"/>
      <w:bookmarkStart w:id="217" w:name="_Toc31253"/>
      <w:bookmarkStart w:id="218" w:name="_Toc3329"/>
      <w:bookmarkStart w:id="219" w:name="_Toc768"/>
      <w:bookmarkStart w:id="220" w:name="_Toc12314"/>
      <w:bookmarkStart w:id="221" w:name="_Toc16069"/>
      <w:bookmarkStart w:id="222" w:name="_Toc896"/>
      <w:bookmarkStart w:id="223" w:name="_Toc28422"/>
      <w:bookmarkStart w:id="224" w:name="_Toc15623"/>
      <w:bookmarkStart w:id="225" w:name="_Toc22782"/>
      <w:bookmarkStart w:id="226" w:name="_Toc12842"/>
      <w:bookmarkStart w:id="227" w:name="_Toc7931"/>
      <w:bookmarkStart w:id="228" w:name="_Toc30321"/>
      <w:bookmarkStart w:id="229" w:name="_Toc27349"/>
      <w:r>
        <w:rPr>
          <w:rFonts w:hint="eastAsia" w:ascii="仿宋" w:hAnsi="仿宋" w:eastAsia="仿宋" w:cs="仿宋"/>
          <w:b/>
          <w:bCs/>
          <w:color w:val="auto"/>
          <w:szCs w:val="28"/>
          <w:highlight w:val="none"/>
        </w:rPr>
        <w:t>七、联系方式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ind w:firstLine="438" w:firstLineChars="200"/>
        <w:rPr>
          <w:rFonts w:hint="eastAsia" w:ascii="仿宋" w:hAnsi="仿宋" w:eastAsia="仿宋" w:cs="仿宋"/>
          <w:color w:val="auto"/>
        </w:rPr>
      </w:pPr>
      <w:bookmarkStart w:id="230" w:name="_Toc8199"/>
      <w:bookmarkStart w:id="231" w:name="_Toc1822"/>
      <w:bookmarkStart w:id="232" w:name="_Toc11698"/>
      <w:bookmarkStart w:id="233" w:name="_Toc2578"/>
      <w:bookmarkStart w:id="234" w:name="_Toc20171"/>
      <w:bookmarkStart w:id="235" w:name="_Toc2022"/>
      <w:bookmarkStart w:id="236" w:name="_Toc7350"/>
      <w:bookmarkStart w:id="237" w:name="_Toc21409"/>
      <w:bookmarkStart w:id="238" w:name="_Toc7322"/>
      <w:bookmarkStart w:id="239" w:name="_Toc5040"/>
      <w:bookmarkStart w:id="240" w:name="_Toc31928"/>
      <w:bookmarkStart w:id="241" w:name="_Toc23459"/>
      <w:bookmarkStart w:id="242" w:name="_Toc7482"/>
      <w:r>
        <w:rPr>
          <w:rFonts w:hint="eastAsia" w:ascii="仿宋" w:hAnsi="仿宋" w:eastAsia="仿宋" w:cs="仿宋"/>
          <w:color w:val="auto"/>
        </w:rPr>
        <w:t>重庆市巴南区第二人民医院</w:t>
      </w:r>
    </w:p>
    <w:p>
      <w:pPr>
        <w:ind w:firstLine="438" w:firstLineChars="20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岑</w:t>
      </w:r>
      <w:r>
        <w:rPr>
          <w:rFonts w:hint="eastAsia" w:ascii="仿宋" w:hAnsi="仿宋" w:eastAsia="仿宋" w:cs="仿宋"/>
          <w:color w:val="auto"/>
        </w:rPr>
        <w:t>老师</w:t>
      </w:r>
      <w:r>
        <w:rPr>
          <w:rFonts w:hint="eastAsia" w:ascii="仿宋" w:hAnsi="仿宋" w:eastAsia="仿宋" w:cs="仿宋"/>
          <w:color w:val="auto"/>
          <w:lang w:eastAsia="zh-CN"/>
        </w:rPr>
        <w:t>（</w:t>
      </w:r>
      <w:r>
        <w:rPr>
          <w:rFonts w:hint="eastAsia" w:ascii="仿宋" w:hAnsi="仿宋" w:eastAsia="仿宋" w:cs="仿宋"/>
          <w:color w:val="auto"/>
          <w:lang w:val="en-US" w:eastAsia="zh-CN"/>
        </w:rPr>
        <w:t>宣传）</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62866574</w:t>
      </w:r>
    </w:p>
    <w:p>
      <w:pPr>
        <w:ind w:firstLine="438" w:firstLineChars="200"/>
        <w:rPr>
          <w:rFonts w:hint="eastAsia" w:ascii="仿宋" w:hAnsi="仿宋" w:eastAsia="仿宋" w:cs="仿宋"/>
          <w:color w:val="auto"/>
          <w:lang w:val="en-US" w:eastAsia="zh-CN"/>
        </w:rPr>
      </w:pPr>
      <w:r>
        <w:rPr>
          <w:rFonts w:hint="eastAsia" w:ascii="仿宋" w:hAnsi="仿宋" w:eastAsia="仿宋" w:cs="仿宋"/>
          <w:color w:val="auto"/>
        </w:rPr>
        <w:t xml:space="preserve">        </w:t>
      </w:r>
      <w:r>
        <w:rPr>
          <w:rFonts w:hint="eastAsia" w:ascii="仿宋" w:hAnsi="仿宋" w:eastAsia="仿宋" w:cs="仿宋"/>
          <w:color w:val="auto"/>
          <w:lang w:eastAsia="zh-CN"/>
        </w:rPr>
        <w:t>吴</w:t>
      </w:r>
      <w:r>
        <w:rPr>
          <w:rFonts w:hint="eastAsia" w:ascii="仿宋" w:hAnsi="仿宋" w:eastAsia="仿宋" w:cs="仿宋"/>
          <w:color w:val="auto"/>
        </w:rPr>
        <w:t>老师</w:t>
      </w:r>
      <w:r>
        <w:rPr>
          <w:rFonts w:hint="eastAsia" w:ascii="仿宋" w:hAnsi="仿宋" w:eastAsia="仿宋" w:cs="仿宋"/>
          <w:color w:val="auto"/>
          <w:lang w:eastAsia="zh-CN"/>
        </w:rPr>
        <w:t>（采购）</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62867363</w:t>
      </w:r>
    </w:p>
    <w:p>
      <w:pPr>
        <w:ind w:firstLine="438" w:firstLineChars="200"/>
        <w:rPr>
          <w:rFonts w:hint="eastAsia" w:ascii="仿宋" w:hAnsi="仿宋" w:eastAsia="仿宋" w:cs="仿宋"/>
          <w:color w:val="auto"/>
        </w:rPr>
      </w:pPr>
    </w:p>
    <w:p>
      <w:pPr>
        <w:ind w:firstLine="5037" w:firstLineChars="2300"/>
        <w:rPr>
          <w:rFonts w:hint="eastAsia" w:ascii="仿宋" w:hAnsi="仿宋" w:eastAsia="仿宋" w:cs="仿宋"/>
          <w:color w:val="auto"/>
        </w:rPr>
      </w:pPr>
      <w:r>
        <w:rPr>
          <w:rFonts w:hint="eastAsia" w:ascii="仿宋" w:hAnsi="仿宋" w:eastAsia="仿宋" w:cs="仿宋"/>
          <w:color w:val="auto"/>
        </w:rPr>
        <w:t>重庆市巴南区第二人民医院</w:t>
      </w:r>
    </w:p>
    <w:p>
      <w:pPr>
        <w:ind w:firstLine="438" w:firstLineChars="200"/>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20</w:t>
      </w:r>
      <w:r>
        <w:rPr>
          <w:rFonts w:hint="eastAsia" w:ascii="仿宋" w:hAnsi="仿宋" w:eastAsia="仿宋" w:cs="仿宋"/>
          <w:color w:val="auto"/>
        </w:rPr>
        <w:t>日</w:t>
      </w:r>
    </w:p>
    <w:p>
      <w:pPr>
        <w:ind w:firstLine="438" w:firstLineChars="200"/>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numPr>
          <w:ilvl w:val="0"/>
          <w:numId w:val="0"/>
        </w:numPr>
        <w:tabs>
          <w:tab w:val="clear" w:pos="3360"/>
        </w:tabs>
        <w:spacing w:before="120" w:after="120"/>
        <w:ind w:leftChars="0"/>
        <w:rPr>
          <w:rFonts w:hint="eastAsia"/>
          <w:color w:val="auto"/>
          <w:szCs w:val="22"/>
          <w:highlight w:val="none"/>
        </w:rPr>
      </w:pPr>
      <w:r>
        <w:rPr>
          <w:rFonts w:hint="eastAsia"/>
          <w:color w:val="auto"/>
          <w:szCs w:val="22"/>
          <w:highlight w:val="none"/>
          <w:lang w:eastAsia="zh-CN"/>
        </w:rPr>
        <w:t>第二篇</w:t>
      </w:r>
      <w:r>
        <w:rPr>
          <w:rFonts w:hint="eastAsia"/>
          <w:color w:val="auto"/>
          <w:szCs w:val="22"/>
          <w:highlight w:val="none"/>
          <w:lang w:val="en-US" w:eastAsia="zh-CN"/>
        </w:rPr>
        <w:t xml:space="preserve"> </w:t>
      </w:r>
      <w:r>
        <w:rPr>
          <w:rFonts w:hint="eastAsia"/>
          <w:color w:val="auto"/>
          <w:szCs w:val="22"/>
          <w:highlight w:val="none"/>
        </w:rPr>
        <w:t>采购</w:t>
      </w:r>
      <w:r>
        <w:rPr>
          <w:rFonts w:hint="eastAsia"/>
          <w:color w:val="auto"/>
          <w:szCs w:val="22"/>
          <w:highlight w:val="none"/>
          <w:lang w:eastAsia="zh-CN"/>
        </w:rPr>
        <w:t>项目内容及</w:t>
      </w:r>
      <w:r>
        <w:rPr>
          <w:rFonts w:hint="eastAsia"/>
          <w:color w:val="auto"/>
          <w:szCs w:val="22"/>
          <w:highlight w:val="none"/>
        </w:rPr>
        <w:t>要求</w:t>
      </w:r>
      <w:bookmarkEnd w:id="230"/>
      <w:bookmarkEnd w:id="231"/>
      <w:bookmarkEnd w:id="232"/>
      <w:bookmarkEnd w:id="233"/>
      <w:bookmarkEnd w:id="234"/>
      <w:bookmarkEnd w:id="235"/>
      <w:bookmarkEnd w:id="236"/>
      <w:bookmarkEnd w:id="237"/>
      <w:bookmarkEnd w:id="238"/>
      <w:bookmarkEnd w:id="239"/>
      <w:bookmarkEnd w:id="240"/>
      <w:bookmarkEnd w:id="241"/>
      <w:bookmarkEnd w:id="242"/>
      <w:bookmarkStart w:id="243" w:name="_Toc24848"/>
      <w:bookmarkStart w:id="244" w:name="_Toc421783196"/>
    </w:p>
    <w:bookmarkEnd w:id="243"/>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bookmarkStart w:id="245" w:name="_Toc28663"/>
      <w:bookmarkStart w:id="246" w:name="_Toc21442"/>
      <w:bookmarkStart w:id="247" w:name="_Toc1636"/>
      <w:bookmarkStart w:id="248" w:name="_Toc29128"/>
      <w:bookmarkStart w:id="249" w:name="_Toc8618"/>
      <w:r>
        <w:rPr>
          <w:rFonts w:hint="eastAsia" w:ascii="仿宋" w:hAnsi="仿宋" w:eastAsia="仿宋" w:cs="仿宋"/>
          <w:b/>
          <w:bCs/>
          <w:color w:val="auto"/>
        </w:rPr>
        <w:t>（一）</w:t>
      </w:r>
      <w:r>
        <w:rPr>
          <w:rFonts w:hint="eastAsia" w:ascii="仿宋" w:hAnsi="仿宋" w:eastAsia="仿宋" w:cs="仿宋"/>
          <w:b/>
          <w:bCs/>
          <w:color w:val="auto"/>
          <w:lang w:val="en-US" w:eastAsia="zh-CN"/>
        </w:rPr>
        <w:t>项目</w:t>
      </w:r>
      <w:r>
        <w:rPr>
          <w:rFonts w:hint="eastAsia" w:ascii="仿宋" w:hAnsi="仿宋" w:eastAsia="仿宋" w:cs="仿宋"/>
          <w:b/>
          <w:bCs/>
          <w:color w:val="auto"/>
        </w:rPr>
        <w:t>内容：</w:t>
      </w:r>
      <w:r>
        <w:rPr>
          <w:rFonts w:hint="eastAsia" w:ascii="仿宋" w:hAnsi="仿宋" w:eastAsia="仿宋" w:cs="仿宋"/>
          <w:color w:val="auto"/>
          <w:lang w:eastAsia="zh-CN"/>
        </w:rPr>
        <w:t>重庆市巴南区第二人民医院文化建设设计制作（三号楼内科序列、妇产科）。</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b/>
          <w:bCs/>
          <w:color w:val="auto"/>
        </w:rPr>
        <w:t>（二）</w:t>
      </w:r>
      <w:r>
        <w:rPr>
          <w:rFonts w:hint="eastAsia" w:ascii="仿宋" w:hAnsi="仿宋" w:eastAsia="仿宋" w:cs="仿宋"/>
          <w:b/>
          <w:bCs/>
          <w:color w:val="auto"/>
          <w:lang w:val="en-US" w:eastAsia="zh-CN"/>
        </w:rPr>
        <w:t>采购</w:t>
      </w:r>
      <w:r>
        <w:rPr>
          <w:rFonts w:hint="eastAsia" w:ascii="仿宋" w:hAnsi="仿宋" w:eastAsia="仿宋" w:cs="仿宋"/>
          <w:b/>
          <w:bCs/>
          <w:color w:val="auto"/>
        </w:rPr>
        <w:t>范围：</w:t>
      </w:r>
      <w:r>
        <w:rPr>
          <w:rFonts w:hint="eastAsia" w:ascii="仿宋" w:hAnsi="仿宋" w:eastAsia="仿宋" w:cs="仿宋"/>
          <w:color w:val="auto"/>
          <w:lang w:eastAsia="zh-CN"/>
        </w:rPr>
        <w:t>重庆市巴南区第二人民医院</w:t>
      </w:r>
      <w:r>
        <w:rPr>
          <w:rFonts w:hint="eastAsia" w:ascii="仿宋" w:hAnsi="仿宋" w:eastAsia="仿宋" w:cs="仿宋"/>
          <w:color w:val="auto"/>
          <w:lang w:val="en-US" w:eastAsia="zh-CN"/>
        </w:rPr>
        <w:t>三号楼内科序列、妇产科</w:t>
      </w:r>
      <w:r>
        <w:rPr>
          <w:rFonts w:hint="eastAsia" w:ascii="仿宋" w:hAnsi="仿宋" w:eastAsia="仿宋" w:cs="仿宋"/>
          <w:color w:val="auto"/>
          <w:lang w:eastAsia="zh-CN"/>
        </w:rPr>
        <w:t>导视牌、</w:t>
      </w:r>
      <w:r>
        <w:rPr>
          <w:rFonts w:hint="eastAsia" w:ascii="仿宋" w:hAnsi="仿宋" w:eastAsia="仿宋" w:cs="仿宋"/>
          <w:color w:val="auto"/>
          <w:lang w:val="en-US" w:eastAsia="zh-CN"/>
        </w:rPr>
        <w:t>党建、廉政、业务宣传栏等内容的设计、制作、安装。</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（三）设计总体要求</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以三号楼外科序列为标准，对内科序列和妇产科进行文化建设设计制作，同类标识要保持样式、大小、材质、颜色、字体完全一致</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结合病区特色，提炼病区服务理念和支部文化。</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根据病区布局规划导向牌位置、整合温馨提示内容</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（四）内容总体要求及最高限价</w:t>
      </w:r>
    </w:p>
    <w:p>
      <w:pPr>
        <w:ind w:firstLine="438"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w:t>
      </w:r>
    </w:p>
    <w:tbl>
      <w:tblPr>
        <w:tblStyle w:val="25"/>
        <w:tblW w:w="95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929"/>
        <w:gridCol w:w="2552"/>
        <w:gridCol w:w="1503"/>
        <w:gridCol w:w="646"/>
        <w:gridCol w:w="481"/>
        <w:gridCol w:w="918"/>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名称</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材质工艺</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尺寸规格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预估数量</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单项</w:t>
            </w:r>
          </w:p>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限价</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住院部1F进大门形象墙</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1600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护士接待台尺寸1（小）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PVC透明胶片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3.47m×1.15m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375"/>
              </w:tabs>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护士接待台尺寸2（大）</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PVC透明胶片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8m×1.8m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650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1.5cm亚克力水晶字</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0.4m×0.2m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护理团队介绍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1580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250mm×15mm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医生团队、科室介绍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2.8m×1.3m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护理团队+医生团队</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（专家介绍+科室介绍）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3.5m×1.2m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2100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250mm×15mm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护士标兵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1cmPVC+亚克力（双层）</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800mm×900mm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270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150mm×210mm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健康教育</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宣传栏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1500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制度牌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600mm×800mm×10mm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流程牌（大）</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流程牌（小）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40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FICE图谱</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700mm×900mm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业务介绍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1.8m×1m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700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通道文化墙装饰</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宣教电视墙</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护士站导视牌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1：镀锌板激光切割焊接造型氟碳喷涂+字丝印（双面）</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2：现场打炮钉固定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1100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通道标识</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19</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通道吊牌（双面）</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lang w:val="en-US"/>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电梯楼层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总导视牌（电梯外）</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1：镀锌板激光切割焊接造型氟碳喷涂（底板）厚度15mm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1cmPVC+亚克力（第二层）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内容做成卡槽，可更换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1300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21</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楼梯总导视牌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1：镀锌板激光切割焊接造型氟碳喷涂（底板）厚度15mm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1cmPVC+亚克力（第二层）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内容做成卡槽，可更换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22</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1840mm×390mm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1720mm×310mm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420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23</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科室门牌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1cm亚克力激光雕刻（双层）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亚克力卡槽，</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内容定期可更换，相片纸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160mm×250mm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病房门牌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1cm亚克力激光雕刻（双层）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亚克力卡槽，</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内容定期可更换，相片纸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160mm×250mm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洗手间吊牌</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26</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洗手间门牌</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0.3m×0.25m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27</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卫生间公示牌+垃圾分类公示牌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240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28</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温馨提示牌</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禁止吸烟等</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300m×180m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29</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检查提示牌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600mm×340mm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w:t>
            </w:r>
          </w:p>
        </w:tc>
        <w:tc>
          <w:tcPr>
            <w:tcW w:w="192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值班表</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600mm×340mm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80mm×50mm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78mm×48mm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31</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消防栓美化</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0.5cmPVC</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650mm×800mm×60mm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90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32</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重症医学科标识</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铝型材边框+内置电源+UV软膜卡布灯箱片</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33</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标牌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2000mm×600mm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850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34</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楼层号</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w:t>
            </w:r>
          </w:p>
        </w:tc>
        <w:tc>
          <w:tcPr>
            <w:tcW w:w="15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center"/>
              <w:textAlignment w:val="top"/>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cs="方正仿宋_GBK"/>
                <w:b w:val="0"/>
                <w:bCs w:val="0"/>
                <w:i w:val="0"/>
                <w:iCs w:val="0"/>
                <w:color w:val="auto"/>
                <w:kern w:val="0"/>
                <w:sz w:val="24"/>
                <w:szCs w:val="24"/>
                <w:highlight w:val="none"/>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35</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温馨提示牌</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（异形）</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cs="方正仿宋_GBK"/>
                <w:b w:val="0"/>
                <w:bCs w:val="0"/>
                <w:i w:val="0"/>
                <w:iCs w:val="0"/>
                <w:color w:val="auto"/>
                <w:kern w:val="0"/>
                <w:sz w:val="24"/>
                <w:szCs w:val="24"/>
                <w:highlight w:val="none"/>
                <w:u w:val="none"/>
                <w:lang w:val="en-US" w:eastAsia="zh-CN" w:bidi="ar"/>
              </w:rPr>
              <w:t>30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36</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消化内镜中心标牌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铝型材边框+内置电源+UV软膜卡布灯箱片</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2000mmx450mm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37</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地贴标识</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黑胶斜纹地贴</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1200mmx400mm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38</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党建文化展板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廉政文化展板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小家文化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（大尺寸）</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1.5cmPVC+亚克力(字）</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7.86mx1.4m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2500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A4</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0.21mx0.15m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0.25mx0.15m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39</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党建文化展板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廉政文化展板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小家文化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（小尺寸）</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1.5cmPVC+亚克力(字）</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4mx1.3m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A4</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0.21mx0.15m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0.25mx0.15m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党的权利+义务+宣誓词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局部加亚克力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3000mmx1200mm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1000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4"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放奖牌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15mm置物板</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1400mmx20mm(3个）</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置物格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800mmx20mm(3个）</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置物格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1300mmx600mm(广告字）</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800mmx300mm(广告字）</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800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000000"/>
                <w:sz w:val="24"/>
                <w:szCs w:val="24"/>
                <w:highlight w:val="none"/>
                <w:u w:val="none"/>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563"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总限价</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r>
              <w:rPr>
                <w:rFonts w:hint="eastAsia" w:ascii="方正仿宋_GBK" w:hAnsi="方正仿宋_GBK" w:eastAsia="方正仿宋_GBK" w:cs="方正仿宋_GBK"/>
                <w:b w:val="0"/>
                <w:bCs w:val="0"/>
                <w:i w:val="0"/>
                <w:iCs w:val="0"/>
                <w:color w:val="auto"/>
                <w:sz w:val="24"/>
                <w:szCs w:val="24"/>
                <w:highlight w:val="none"/>
                <w:u w:val="none"/>
                <w:lang w:val="en-US" w:eastAsia="zh-CN"/>
              </w:rPr>
              <w:t>168623</w:t>
            </w:r>
          </w:p>
        </w:tc>
      </w:tr>
    </w:tbl>
    <w:p>
      <w:pPr>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注：以上为预估数量，最后根据中标单项价格据实结算，整体费用不超过总限价。</w:t>
      </w:r>
    </w:p>
    <w:p>
      <w:pPr>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（五）现场踏勘时间和联系方式</w:t>
      </w:r>
    </w:p>
    <w:p>
      <w:pPr>
        <w:pStyle w:val="3"/>
        <w:keepNext/>
        <w:keepLines/>
        <w:pageBreakBefore w:val="0"/>
        <w:widowControl w:val="0"/>
        <w:kinsoku/>
        <w:wordWrap/>
        <w:overflowPunct/>
        <w:topLinePunct w:val="0"/>
        <w:autoSpaceDE/>
        <w:autoSpaceDN/>
        <w:bidi w:val="0"/>
        <w:adjustRightInd/>
        <w:snapToGrid/>
        <w:spacing w:line="520" w:lineRule="exact"/>
        <w:ind w:firstLine="657" w:firstLineChars="30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本项目需进行实地踏勘，采购人进行协助讲解。</w:t>
      </w:r>
    </w:p>
    <w:p>
      <w:pPr>
        <w:pStyle w:val="3"/>
        <w:keepNext/>
        <w:keepLines/>
        <w:pageBreakBefore w:val="0"/>
        <w:widowControl w:val="0"/>
        <w:kinsoku/>
        <w:wordWrap/>
        <w:overflowPunct/>
        <w:topLinePunct w:val="0"/>
        <w:autoSpaceDE/>
        <w:autoSpaceDN/>
        <w:bidi w:val="0"/>
        <w:adjustRightInd/>
        <w:snapToGrid/>
        <w:spacing w:line="520" w:lineRule="exact"/>
        <w:ind w:firstLine="657" w:firstLineChars="30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现场踏勘时间：2023年9月22日上午9:30</w:t>
      </w:r>
    </w:p>
    <w:p>
      <w:pPr>
        <w:pStyle w:val="3"/>
        <w:keepNext/>
        <w:keepLines/>
        <w:pageBreakBefore w:val="0"/>
        <w:widowControl w:val="0"/>
        <w:kinsoku/>
        <w:wordWrap/>
        <w:overflowPunct/>
        <w:topLinePunct w:val="0"/>
        <w:autoSpaceDE/>
        <w:autoSpaceDN/>
        <w:bidi w:val="0"/>
        <w:adjustRightInd/>
        <w:snapToGrid/>
        <w:spacing w:line="520" w:lineRule="exact"/>
        <w:ind w:firstLine="657" w:firstLineChars="30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联系人：岑颜言 18083017747</w:t>
      </w:r>
    </w:p>
    <w:p>
      <w:pPr>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地址：重庆市巴南区花溪街道花溪新村18号</w:t>
      </w:r>
      <w:r>
        <w:rPr>
          <w:rFonts w:hint="eastAsia" w:ascii="仿宋" w:hAnsi="仿宋" w:eastAsia="仿宋" w:cs="仿宋"/>
          <w:color w:val="auto"/>
          <w:szCs w:val="28"/>
          <w:highlight w:val="none"/>
          <w:lang w:eastAsia="zh-CN"/>
        </w:rPr>
        <w:br w:type="page"/>
      </w:r>
    </w:p>
    <w:bookmarkEnd w:id="245"/>
    <w:bookmarkEnd w:id="246"/>
    <w:bookmarkEnd w:id="247"/>
    <w:bookmarkEnd w:id="248"/>
    <w:bookmarkEnd w:id="249"/>
    <w:p>
      <w:pPr>
        <w:pStyle w:val="3"/>
        <w:numPr>
          <w:ilvl w:val="0"/>
          <w:numId w:val="0"/>
        </w:numPr>
        <w:tabs>
          <w:tab w:val="clear" w:pos="3360"/>
        </w:tabs>
        <w:spacing w:before="120" w:after="120"/>
        <w:jc w:val="center"/>
        <w:rPr>
          <w:rFonts w:hint="eastAsia"/>
          <w:color w:val="auto"/>
          <w:szCs w:val="22"/>
          <w:highlight w:val="none"/>
        </w:rPr>
      </w:pPr>
      <w:bookmarkStart w:id="250" w:name="_Toc22492"/>
      <w:bookmarkStart w:id="251" w:name="_Toc48837306"/>
      <w:bookmarkStart w:id="252" w:name="_Toc29208"/>
      <w:bookmarkStart w:id="253" w:name="_Toc29690"/>
      <w:bookmarkStart w:id="254" w:name="_Toc626"/>
      <w:bookmarkStart w:id="255" w:name="_Toc19831"/>
      <w:bookmarkStart w:id="256" w:name="_Toc6981"/>
      <w:bookmarkStart w:id="257" w:name="_Toc525"/>
      <w:bookmarkStart w:id="258" w:name="_Toc17633"/>
      <w:bookmarkStart w:id="259" w:name="_Toc8563"/>
      <w:bookmarkStart w:id="260" w:name="_Toc14010"/>
      <w:bookmarkStart w:id="261" w:name="_Toc22261"/>
      <w:bookmarkStart w:id="262" w:name="_Toc4982"/>
      <w:bookmarkStart w:id="263" w:name="_Toc7413"/>
      <w:bookmarkStart w:id="264" w:name="_Toc1898"/>
      <w:bookmarkStart w:id="265" w:name="_Toc4813"/>
      <w:bookmarkStart w:id="266" w:name="_Toc3944"/>
      <w:bookmarkStart w:id="267" w:name="_Toc27837"/>
      <w:bookmarkStart w:id="268" w:name="_Toc1773"/>
      <w:bookmarkStart w:id="269" w:name="_Toc13929"/>
      <w:bookmarkStart w:id="270" w:name="_Toc30653"/>
      <w:bookmarkStart w:id="271" w:name="_Toc21839"/>
      <w:bookmarkStart w:id="272" w:name="_Toc17260"/>
      <w:bookmarkStart w:id="273" w:name="_Toc29474"/>
      <w:bookmarkStart w:id="274" w:name="_Toc7209"/>
      <w:bookmarkStart w:id="275" w:name="_Toc4600"/>
      <w:bookmarkStart w:id="276" w:name="_Toc14357"/>
      <w:bookmarkStart w:id="277" w:name="_Toc13454"/>
      <w:r>
        <w:rPr>
          <w:rFonts w:hint="eastAsia"/>
          <w:color w:val="auto"/>
          <w:szCs w:val="22"/>
          <w:highlight w:val="none"/>
          <w:lang w:eastAsia="zh-CN"/>
        </w:rPr>
        <w:t>第三篇</w:t>
      </w:r>
      <w:r>
        <w:rPr>
          <w:rFonts w:hint="eastAsia"/>
          <w:color w:val="auto"/>
          <w:szCs w:val="22"/>
          <w:highlight w:val="none"/>
          <w:lang w:val="en-US" w:eastAsia="zh-CN"/>
        </w:rPr>
        <w:t xml:space="preserve"> </w:t>
      </w:r>
      <w:r>
        <w:rPr>
          <w:rFonts w:hint="eastAsia"/>
          <w:color w:val="auto"/>
          <w:szCs w:val="22"/>
          <w:highlight w:val="none"/>
        </w:rPr>
        <w:t>采购商务要求</w:t>
      </w:r>
      <w:bookmarkEnd w:id="24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Start w:id="278" w:name="_Toc409189624"/>
      <w:bookmarkStart w:id="279" w:name="_Toc384905065"/>
    </w:p>
    <w:bookmarkEnd w:id="278"/>
    <w:bookmarkEnd w:id="279"/>
    <w:p>
      <w:pPr>
        <w:pStyle w:val="4"/>
        <w:keepNext/>
        <w:keepLines/>
        <w:pageBreakBefore w:val="0"/>
        <w:widowControl w:val="0"/>
        <w:suppressLineNumbers w:val="0"/>
        <w:suppressAutoHyphens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rPr>
      </w:pPr>
      <w:bookmarkStart w:id="280" w:name="_Toc32329071"/>
      <w:bookmarkStart w:id="281" w:name="_Toc32329124"/>
      <w:bookmarkStart w:id="282" w:name="_Toc32329212"/>
      <w:bookmarkStart w:id="283" w:name="_Toc32329170"/>
      <w:bookmarkStart w:id="284" w:name="_Toc36064072"/>
      <w:bookmarkStart w:id="285" w:name="_Toc36064000"/>
      <w:bookmarkStart w:id="286" w:name="_Toc36064036"/>
      <w:bookmarkStart w:id="287" w:name="_Toc32120"/>
      <w:r>
        <w:rPr>
          <w:rFonts w:hint="eastAsia" w:ascii="仿宋" w:hAnsi="仿宋" w:eastAsia="仿宋" w:cs="仿宋"/>
          <w:color w:val="auto"/>
        </w:rPr>
        <w:t>一、</w:t>
      </w:r>
      <w:r>
        <w:rPr>
          <w:rFonts w:hint="eastAsia" w:ascii="仿宋" w:hAnsi="仿宋" w:eastAsia="仿宋" w:cs="仿宋"/>
          <w:color w:val="auto"/>
          <w:lang w:eastAsia="zh-CN"/>
        </w:rPr>
        <w:t>实施时间</w:t>
      </w:r>
      <w:r>
        <w:rPr>
          <w:rFonts w:hint="eastAsia" w:ascii="仿宋" w:hAnsi="仿宋" w:eastAsia="仿宋" w:cs="仿宋"/>
          <w:color w:val="auto"/>
        </w:rPr>
        <w:t>地点及验收方式</w:t>
      </w:r>
      <w:bookmarkEnd w:id="280"/>
      <w:bookmarkEnd w:id="281"/>
      <w:bookmarkEnd w:id="282"/>
      <w:bookmarkEnd w:id="283"/>
      <w:bookmarkEnd w:id="284"/>
      <w:bookmarkEnd w:id="285"/>
      <w:bookmarkEnd w:id="286"/>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rPr>
        <w:t>（一）</w:t>
      </w:r>
      <w:r>
        <w:rPr>
          <w:rFonts w:hint="eastAsia" w:ascii="仿宋" w:hAnsi="仿宋" w:eastAsia="仿宋" w:cs="仿宋"/>
          <w:color w:val="auto"/>
          <w:lang w:eastAsia="zh-CN"/>
        </w:rPr>
        <w:t>实施时间</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合同签订之日</w:t>
      </w:r>
      <w:r>
        <w:rPr>
          <w:rFonts w:hint="eastAsia" w:ascii="仿宋" w:hAnsi="仿宋" w:eastAsia="仿宋" w:cs="仿宋"/>
          <w:color w:val="auto"/>
          <w:lang w:eastAsia="zh-CN"/>
        </w:rPr>
        <w:t>起</w:t>
      </w:r>
      <w:r>
        <w:rPr>
          <w:rFonts w:hint="eastAsia" w:ascii="仿宋" w:hAnsi="仿宋" w:eastAsia="仿宋" w:cs="仿宋"/>
          <w:color w:val="auto"/>
          <w:lang w:val="en-US" w:eastAsia="zh-CN"/>
        </w:rPr>
        <w:t>，按采购人要求逐步实施</w:t>
      </w:r>
      <w:r>
        <w:rPr>
          <w:rFonts w:hint="eastAsia" w:ascii="仿宋" w:hAnsi="仿宋" w:eastAsia="仿宋" w:cs="仿宋"/>
          <w:color w:val="auto"/>
        </w:rPr>
        <w:t>。</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lang w:eastAsia="zh-CN"/>
        </w:rPr>
        <w:t>项目</w:t>
      </w:r>
      <w:r>
        <w:rPr>
          <w:rFonts w:hint="eastAsia" w:ascii="仿宋" w:hAnsi="仿宋" w:eastAsia="仿宋" w:cs="仿宋"/>
          <w:color w:val="auto"/>
        </w:rPr>
        <w:t>地点</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重庆市巴南区第二人民医院三号楼</w:t>
      </w:r>
      <w:bookmarkStart w:id="937" w:name="_GoBack"/>
      <w:bookmarkEnd w:id="937"/>
      <w:r>
        <w:rPr>
          <w:rFonts w:hint="eastAsia" w:ascii="仿宋" w:hAnsi="仿宋" w:eastAsia="仿宋" w:cs="仿宋"/>
          <w:color w:val="auto"/>
          <w:lang w:val="en-US" w:eastAsia="zh-CN"/>
        </w:rPr>
        <w:t>内科序列、妇产科</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（三）验收方式</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采购人自行组织验收。</w:t>
      </w:r>
      <w:r>
        <w:rPr>
          <w:rFonts w:hint="eastAsia" w:ascii="仿宋" w:hAnsi="仿宋" w:eastAsia="仿宋" w:cs="仿宋"/>
          <w:color w:val="auto"/>
          <w:lang w:val="en-US" w:eastAsia="zh-CN"/>
        </w:rPr>
        <w:t>验收标准：</w:t>
      </w:r>
      <w:r>
        <w:rPr>
          <w:rFonts w:hint="eastAsia" w:ascii="仿宋" w:hAnsi="仿宋" w:eastAsia="仿宋" w:cs="仿宋"/>
          <w:color w:val="auto"/>
        </w:rPr>
        <w:t>按照国家及行业相关标准、</w:t>
      </w:r>
      <w:r>
        <w:rPr>
          <w:rFonts w:hint="eastAsia" w:ascii="仿宋" w:hAnsi="仿宋" w:eastAsia="仿宋" w:cs="仿宋"/>
          <w:color w:val="auto"/>
          <w:lang w:eastAsia="zh-CN"/>
        </w:rPr>
        <w:t>采购</w:t>
      </w:r>
      <w:r>
        <w:rPr>
          <w:rFonts w:hint="eastAsia" w:ascii="仿宋" w:hAnsi="仿宋" w:eastAsia="仿宋" w:cs="仿宋"/>
          <w:color w:val="auto"/>
        </w:rPr>
        <w:t>文件、项目合同规定进行验收，如验收达不到规定要求，对采购人造成一定的损失，成交供应商承担一切责任，并赔偿所造成的损失。</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b w:val="0"/>
          <w:color w:val="auto"/>
          <w:kern w:val="2"/>
          <w:sz w:val="24"/>
          <w:lang w:val="en-US" w:eastAsia="zh-CN" w:bidi="ar-SA"/>
        </w:rPr>
      </w:pPr>
      <w:bookmarkStart w:id="288" w:name="_Toc36064037"/>
      <w:bookmarkStart w:id="289" w:name="_Toc32329213"/>
      <w:bookmarkStart w:id="290" w:name="_Toc36064073"/>
      <w:bookmarkStart w:id="291" w:name="_Toc32329125"/>
      <w:bookmarkStart w:id="292" w:name="_Toc32329072"/>
      <w:bookmarkStart w:id="293" w:name="_Toc36064001"/>
      <w:bookmarkStart w:id="294" w:name="_Toc493506291"/>
      <w:bookmarkStart w:id="295" w:name="_Toc32329171"/>
      <w:bookmarkStart w:id="296" w:name="_Toc267320050"/>
      <w:r>
        <w:rPr>
          <w:rFonts w:hint="eastAsia" w:ascii="仿宋" w:hAnsi="仿宋" w:eastAsia="仿宋" w:cs="仿宋"/>
          <w:color w:val="auto"/>
        </w:rPr>
        <w:t>二、报价要求</w:t>
      </w:r>
      <w:bookmarkEnd w:id="288"/>
      <w:bookmarkEnd w:id="289"/>
      <w:bookmarkEnd w:id="290"/>
      <w:bookmarkEnd w:id="291"/>
      <w:bookmarkEnd w:id="292"/>
      <w:bookmarkEnd w:id="293"/>
      <w:bookmarkEnd w:id="294"/>
      <w:bookmarkEnd w:id="295"/>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b w:val="0"/>
          <w:color w:val="auto"/>
          <w:kern w:val="2"/>
          <w:sz w:val="24"/>
          <w:lang w:val="en-US" w:eastAsia="zh-CN" w:bidi="ar-SA"/>
        </w:rPr>
        <w:t>（一）包括完成本项目所需的设计、材料、人工、制作、施工、交通、运输、安装、税费等所有费用</w:t>
      </w:r>
      <w:r>
        <w:rPr>
          <w:rFonts w:hint="eastAsia" w:ascii="仿宋" w:hAnsi="仿宋" w:eastAsia="仿宋" w:cs="仿宋"/>
          <w:color w:val="auto"/>
          <w:lang w:eastAsia="zh-CN"/>
        </w:rPr>
        <w:t>。因成交供应商自身原因造成漏报、少报皆由其自行承担责任，采购人不再补偿。</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lang w:eastAsia="zh-CN"/>
        </w:rPr>
        <w:t>完成本项目所需的服务费、人工费及提供项目所需的设备或货物购买（制造）费、辅材费、运输费、装卸费、安装调试费、培训费及各种应纳的税费等。因成交供应商自身原因造成漏报、少报皆由其自行承担责任，采购人不再补偿。</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rPr>
        <w:t>（三）</w:t>
      </w:r>
      <w:r>
        <w:rPr>
          <w:rFonts w:hint="eastAsia" w:ascii="仿宋" w:hAnsi="仿宋" w:eastAsia="仿宋" w:cs="仿宋"/>
          <w:color w:val="auto"/>
          <w:lang w:val="en-US" w:eastAsia="zh-CN"/>
        </w:rPr>
        <w:t>报价若大写与小写金额不一致，以大写金额为准；总价金额与按单价汇总金额不一致的，以单价金额计算结果为准。</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本次报价须为人民币报价，包含本项目涉及的所有费用</w:t>
      </w:r>
      <w:r>
        <w:rPr>
          <w:rFonts w:hint="eastAsia" w:ascii="仿宋" w:hAnsi="仿宋" w:eastAsia="仿宋" w:cs="仿宋"/>
          <w:color w:val="auto"/>
          <w:lang w:eastAsia="zh-CN"/>
        </w:rPr>
        <w:t>，</w:t>
      </w:r>
      <w:r>
        <w:rPr>
          <w:rFonts w:hint="eastAsia" w:ascii="仿宋" w:hAnsi="仿宋" w:eastAsia="仿宋" w:cs="仿宋"/>
          <w:color w:val="auto"/>
          <w:lang w:val="en-US" w:eastAsia="zh-CN"/>
        </w:rPr>
        <w:t>服务期间采购人将不再支付该项目任何费用</w:t>
      </w:r>
      <w:r>
        <w:rPr>
          <w:rFonts w:hint="eastAsia" w:ascii="仿宋" w:hAnsi="仿宋" w:eastAsia="仿宋" w:cs="仿宋"/>
          <w:color w:val="auto"/>
        </w:rPr>
        <w:t>。</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rPr>
      </w:pPr>
      <w:bookmarkStart w:id="297" w:name="_Toc36064038"/>
      <w:bookmarkStart w:id="298" w:name="_Toc36064002"/>
      <w:bookmarkStart w:id="299" w:name="_Toc32329214"/>
      <w:bookmarkStart w:id="300" w:name="_Toc493506292"/>
      <w:bookmarkStart w:id="301" w:name="_Toc36064074"/>
      <w:bookmarkStart w:id="302" w:name="_Toc32329073"/>
      <w:bookmarkStart w:id="303" w:name="_Toc32329126"/>
      <w:bookmarkStart w:id="304" w:name="_Toc32329172"/>
      <w:r>
        <w:rPr>
          <w:rFonts w:hint="eastAsia" w:ascii="仿宋" w:hAnsi="仿宋" w:eastAsia="仿宋" w:cs="仿宋"/>
          <w:color w:val="auto"/>
        </w:rPr>
        <w:t>三、服务保证及售后服务</w:t>
      </w:r>
      <w:bookmarkEnd w:id="296"/>
      <w:bookmarkEnd w:id="297"/>
      <w:bookmarkEnd w:id="298"/>
      <w:bookmarkEnd w:id="299"/>
      <w:bookmarkEnd w:id="300"/>
      <w:bookmarkEnd w:id="301"/>
      <w:bookmarkEnd w:id="302"/>
      <w:bookmarkEnd w:id="303"/>
      <w:bookmarkEnd w:id="304"/>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bookmarkStart w:id="305" w:name="_Toc32329127"/>
      <w:bookmarkStart w:id="306" w:name="_Toc267320051"/>
      <w:bookmarkStart w:id="307" w:name="_Toc36064003"/>
      <w:bookmarkStart w:id="308" w:name="_Toc32329074"/>
      <w:bookmarkStart w:id="309" w:name="_Toc32329215"/>
      <w:bookmarkStart w:id="310" w:name="_Toc32329173"/>
      <w:bookmarkStart w:id="311" w:name="_Toc493506293"/>
      <w:bookmarkStart w:id="312" w:name="_Toc36064075"/>
      <w:bookmarkStart w:id="313" w:name="_Toc36064039"/>
      <w:r>
        <w:rPr>
          <w:rFonts w:hint="eastAsia" w:ascii="仿宋" w:hAnsi="仿宋" w:eastAsia="仿宋" w:cs="仿宋"/>
          <w:color w:val="auto"/>
          <w:lang w:val="en-US" w:eastAsia="zh-CN"/>
        </w:rPr>
        <w:t>1.</w:t>
      </w:r>
      <w:r>
        <w:rPr>
          <w:rFonts w:hint="eastAsia" w:ascii="仿宋" w:hAnsi="仿宋" w:eastAsia="仿宋" w:cs="仿宋"/>
          <w:color w:val="auto"/>
          <w:lang w:eastAsia="zh-CN"/>
        </w:rPr>
        <w:t>质量保证期：自验收合格之日起1年。</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售后服务内容</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供应商在服务质保期内应当为采购人提供以下技术支持：</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（1）因质量问题，需在24小时内到达现场解决。</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）电话咨询：成交供应商应当为用户提供技术援助电话，解答用户在使用中遇到的问题，及时为用户提出解决问题的建议。</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其它要求</w:t>
      </w:r>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（根据项目情况确定）。</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b/>
          <w:color w:val="auto"/>
        </w:rPr>
      </w:pPr>
      <w:r>
        <w:rPr>
          <w:rFonts w:hint="eastAsia" w:ascii="仿宋" w:hAnsi="仿宋" w:eastAsia="仿宋" w:cs="仿宋"/>
          <w:b/>
          <w:color w:val="auto"/>
        </w:rPr>
        <w:t>四、付款方式</w:t>
      </w:r>
      <w:bookmarkEnd w:id="305"/>
      <w:bookmarkEnd w:id="306"/>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textAlignment w:val="auto"/>
        <w:rPr>
          <w:rFonts w:hint="eastAsia" w:ascii="仿宋" w:hAnsi="仿宋" w:eastAsia="仿宋" w:cs="仿宋"/>
          <w:color w:val="auto"/>
          <w:lang w:eastAsia="zh-CN"/>
        </w:rPr>
      </w:pPr>
      <w:bookmarkStart w:id="314" w:name="_Toc36064004"/>
      <w:bookmarkStart w:id="315" w:name="_Toc32329216"/>
      <w:bookmarkStart w:id="316" w:name="_Toc493506294"/>
      <w:bookmarkStart w:id="317" w:name="_Toc267320052"/>
      <w:bookmarkStart w:id="318" w:name="_Toc32329075"/>
      <w:bookmarkStart w:id="319" w:name="_Toc36064076"/>
      <w:bookmarkStart w:id="320" w:name="_Toc32329128"/>
      <w:bookmarkStart w:id="321" w:name="_Toc36064040"/>
      <w:bookmarkStart w:id="322" w:name="_Toc32329174"/>
      <w:r>
        <w:rPr>
          <w:rFonts w:hint="eastAsia" w:ascii="仿宋" w:hAnsi="仿宋" w:eastAsia="仿宋" w:cs="仿宋"/>
          <w:color w:val="auto"/>
          <w:lang w:val="en-US" w:eastAsia="zh-CN"/>
        </w:rPr>
        <w:t>项目</w:t>
      </w:r>
      <w:r>
        <w:rPr>
          <w:rFonts w:hint="eastAsia" w:ascii="仿宋" w:hAnsi="仿宋" w:eastAsia="仿宋" w:cs="仿宋"/>
          <w:color w:val="auto"/>
          <w:lang w:eastAsia="zh-CN"/>
        </w:rPr>
        <w:t>完成</w:t>
      </w:r>
      <w:r>
        <w:rPr>
          <w:rFonts w:hint="eastAsia" w:ascii="仿宋" w:hAnsi="仿宋" w:eastAsia="仿宋" w:cs="仿宋"/>
          <w:color w:val="auto"/>
          <w:lang w:val="en-US" w:eastAsia="zh-CN"/>
        </w:rPr>
        <w:t>设计、制作、</w:t>
      </w:r>
      <w:r>
        <w:rPr>
          <w:rFonts w:hint="eastAsia" w:ascii="仿宋" w:hAnsi="仿宋" w:eastAsia="仿宋" w:cs="仿宋"/>
          <w:color w:val="auto"/>
          <w:lang w:eastAsia="zh-CN"/>
        </w:rPr>
        <w:t>安装，正常使用一个月后进行验收，验收合格后十五日内支付制作项目总价的</w:t>
      </w:r>
      <w:r>
        <w:rPr>
          <w:rFonts w:hint="eastAsia" w:ascii="仿宋" w:hAnsi="仿宋" w:eastAsia="仿宋" w:cs="仿宋"/>
          <w:color w:val="auto"/>
          <w:lang w:val="en-US" w:eastAsia="zh-CN"/>
        </w:rPr>
        <w:t>95</w:t>
      </w:r>
      <w:r>
        <w:rPr>
          <w:rFonts w:hint="eastAsia" w:ascii="仿宋" w:hAnsi="仿宋" w:eastAsia="仿宋" w:cs="仿宋"/>
          <w:color w:val="auto"/>
          <w:lang w:eastAsia="zh-CN"/>
        </w:rPr>
        <w:t>％，正常使用</w:t>
      </w:r>
      <w:r>
        <w:rPr>
          <w:rFonts w:hint="eastAsia" w:ascii="仿宋" w:hAnsi="仿宋" w:eastAsia="仿宋" w:cs="仿宋"/>
          <w:color w:val="auto"/>
          <w:lang w:val="en-US" w:eastAsia="zh-CN"/>
        </w:rPr>
        <w:t>一</w:t>
      </w:r>
      <w:r>
        <w:rPr>
          <w:rFonts w:hint="eastAsia" w:ascii="仿宋" w:hAnsi="仿宋" w:eastAsia="仿宋" w:cs="仿宋"/>
          <w:color w:val="auto"/>
          <w:lang w:eastAsia="zh-CN"/>
        </w:rPr>
        <w:t>年后15日内支付制作项目总价的</w:t>
      </w:r>
      <w:r>
        <w:rPr>
          <w:rFonts w:hint="eastAsia" w:ascii="仿宋" w:hAnsi="仿宋" w:eastAsia="仿宋" w:cs="仿宋"/>
          <w:color w:val="auto"/>
          <w:lang w:val="en-US" w:eastAsia="zh-CN"/>
        </w:rPr>
        <w:t>5</w:t>
      </w:r>
      <w:r>
        <w:rPr>
          <w:rFonts w:hint="eastAsia" w:ascii="仿宋" w:hAnsi="仿宋" w:eastAsia="仿宋" w:cs="仿宋"/>
          <w:color w:val="auto"/>
          <w:lang w:eastAsia="zh-CN"/>
        </w:rPr>
        <w:t>％(供应商垫资不计息)。</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rPr>
      </w:pPr>
      <w:r>
        <w:rPr>
          <w:rFonts w:hint="eastAsia" w:ascii="仿宋" w:hAnsi="仿宋" w:eastAsia="仿宋" w:cs="仿宋"/>
          <w:color w:val="auto"/>
        </w:rPr>
        <w:t>五、知识产权</w:t>
      </w:r>
      <w:bookmarkEnd w:id="314"/>
      <w:bookmarkEnd w:id="315"/>
      <w:bookmarkEnd w:id="316"/>
      <w:bookmarkEnd w:id="317"/>
      <w:bookmarkEnd w:id="318"/>
      <w:bookmarkEnd w:id="319"/>
      <w:bookmarkEnd w:id="320"/>
      <w:bookmarkEnd w:id="321"/>
      <w:bookmarkEnd w:id="322"/>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rPr>
      </w:pPr>
      <w:r>
        <w:rPr>
          <w:rFonts w:hint="eastAsia" w:ascii="仿宋" w:hAnsi="仿宋" w:eastAsia="仿宋" w:cs="仿宋"/>
          <w:color w:val="auto"/>
        </w:rPr>
        <w:t>采购人在中华人民共和国境内使用投标人提供的货物及服务时免受第三方提出的侵犯其专利权或其它知识产权的起诉。如果第三方提出侵权指控，</w:t>
      </w:r>
      <w:r>
        <w:rPr>
          <w:rFonts w:hint="eastAsia" w:ascii="仿宋" w:hAnsi="仿宋" w:eastAsia="仿宋" w:cs="仿宋"/>
          <w:color w:val="auto"/>
          <w:lang w:val="en-US" w:eastAsia="zh-CN"/>
        </w:rPr>
        <w:t>成交</w:t>
      </w:r>
      <w:r>
        <w:rPr>
          <w:rFonts w:hint="eastAsia" w:ascii="仿宋" w:hAnsi="仿宋" w:eastAsia="仿宋" w:cs="仿宋"/>
          <w:color w:val="auto"/>
        </w:rPr>
        <w:t>人应承担由此而引起的一切法律责任和费用。</w:t>
      </w:r>
    </w:p>
    <w:p>
      <w:pPr>
        <w:pStyle w:val="4"/>
        <w:pageBreakBefore w:val="0"/>
        <w:widowControl w:val="0"/>
        <w:kinsoku/>
        <w:wordWrap/>
        <w:overflowPunct/>
        <w:topLinePunct w:val="0"/>
        <w:autoSpaceDE/>
        <w:autoSpaceDN/>
        <w:bidi w:val="0"/>
        <w:spacing w:line="520" w:lineRule="exact"/>
        <w:ind w:firstLine="518" w:firstLineChars="200"/>
        <w:textAlignment w:val="auto"/>
        <w:rPr>
          <w:rFonts w:hint="eastAsia" w:ascii="仿宋" w:hAnsi="仿宋" w:eastAsia="仿宋" w:cs="仿宋"/>
          <w:color w:val="auto"/>
        </w:rPr>
      </w:pPr>
      <w:bookmarkStart w:id="323" w:name="_Toc493506295"/>
      <w:bookmarkStart w:id="324" w:name="_Toc32329175"/>
      <w:bookmarkStart w:id="325" w:name="_Toc36064041"/>
      <w:bookmarkStart w:id="326" w:name="_Toc32329129"/>
      <w:bookmarkStart w:id="327" w:name="_Toc32329076"/>
      <w:bookmarkStart w:id="328" w:name="_Toc36064077"/>
      <w:bookmarkStart w:id="329" w:name="_Toc32329217"/>
      <w:bookmarkStart w:id="330" w:name="_Toc36064005"/>
      <w:r>
        <w:rPr>
          <w:rFonts w:hint="eastAsia" w:ascii="仿宋" w:hAnsi="仿宋" w:eastAsia="仿宋" w:cs="仿宋"/>
          <w:color w:val="auto"/>
        </w:rPr>
        <w:t>六、</w:t>
      </w:r>
      <w:bookmarkEnd w:id="323"/>
      <w:r>
        <w:rPr>
          <w:rFonts w:hint="eastAsia" w:ascii="仿宋" w:hAnsi="仿宋" w:eastAsia="仿宋" w:cs="仿宋"/>
          <w:color w:val="auto"/>
        </w:rPr>
        <w:t>其他商务要求内容</w:t>
      </w:r>
      <w:bookmarkEnd w:id="324"/>
      <w:bookmarkEnd w:id="325"/>
      <w:bookmarkEnd w:id="326"/>
      <w:bookmarkEnd w:id="327"/>
      <w:bookmarkEnd w:id="328"/>
      <w:bookmarkEnd w:id="329"/>
      <w:bookmarkEnd w:id="330"/>
    </w:p>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lang w:val="en-US" w:eastAsia="zh-CN"/>
        </w:rPr>
      </w:pPr>
      <w:bookmarkStart w:id="331" w:name="_Toc493506296"/>
      <w:r>
        <w:rPr>
          <w:rFonts w:hint="eastAsia" w:ascii="仿宋" w:hAnsi="仿宋" w:eastAsia="仿宋" w:cs="仿宋"/>
          <w:color w:val="auto"/>
          <w:lang w:val="en-US" w:eastAsia="zh-CN"/>
        </w:rPr>
        <w:t>成交人</w:t>
      </w:r>
      <w:r>
        <w:rPr>
          <w:rFonts w:hint="eastAsia" w:ascii="仿宋" w:hAnsi="仿宋" w:eastAsia="仿宋" w:cs="仿宋"/>
          <w:color w:val="auto"/>
        </w:rPr>
        <w:t>不得转包或分包</w:t>
      </w:r>
      <w:r>
        <w:rPr>
          <w:rFonts w:hint="eastAsia" w:ascii="仿宋" w:hAnsi="仿宋" w:eastAsia="仿宋" w:cs="仿宋"/>
          <w:color w:val="auto"/>
          <w:lang w:val="en-US" w:eastAsia="zh-CN"/>
        </w:rPr>
        <w:t>该项目</w:t>
      </w:r>
    </w:p>
    <w:p>
      <w:pPr>
        <w:pageBreakBefore w:val="0"/>
        <w:widowControl w:val="0"/>
        <w:kinsoku/>
        <w:wordWrap/>
        <w:overflowPunct/>
        <w:topLinePunct w:val="0"/>
        <w:autoSpaceDE/>
        <w:autoSpaceDN/>
        <w:bidi w:val="0"/>
        <w:adjustRightInd w:val="0"/>
        <w:snapToGrid w:val="0"/>
        <w:spacing w:line="520" w:lineRule="exact"/>
        <w:ind w:firstLine="518" w:firstLineChars="200"/>
        <w:jc w:val="left"/>
        <w:textAlignment w:val="auto"/>
        <w:rPr>
          <w:rFonts w:hint="eastAsia" w:ascii="仿宋" w:hAnsi="仿宋" w:eastAsia="仿宋" w:cs="仿宋"/>
          <w:b/>
          <w:color w:val="auto"/>
          <w:kern w:val="0"/>
          <w:sz w:val="28"/>
          <w:lang w:val="en-US" w:eastAsia="zh-CN" w:bidi="ar-SA"/>
        </w:rPr>
      </w:pPr>
      <w:bookmarkStart w:id="332" w:name="_Toc32329176"/>
      <w:bookmarkStart w:id="333" w:name="_Toc32329130"/>
      <w:bookmarkStart w:id="334" w:name="_Toc36064078"/>
      <w:bookmarkStart w:id="335" w:name="_Toc36064042"/>
      <w:bookmarkStart w:id="336" w:name="_Toc32329218"/>
      <w:bookmarkStart w:id="337" w:name="_Toc32329077"/>
      <w:bookmarkStart w:id="338" w:name="_Toc36064006"/>
      <w:r>
        <w:rPr>
          <w:rFonts w:hint="eastAsia" w:ascii="仿宋" w:hAnsi="仿宋" w:eastAsia="仿宋" w:cs="仿宋"/>
          <w:b/>
          <w:color w:val="auto"/>
          <w:kern w:val="0"/>
          <w:sz w:val="28"/>
          <w:lang w:val="en-US" w:eastAsia="zh-CN" w:bidi="ar-SA"/>
        </w:rPr>
        <w:t>七、</w:t>
      </w:r>
      <w:bookmarkEnd w:id="331"/>
      <w:r>
        <w:rPr>
          <w:rFonts w:hint="eastAsia" w:ascii="仿宋" w:hAnsi="仿宋" w:eastAsia="仿宋" w:cs="仿宋"/>
          <w:b/>
          <w:color w:val="auto"/>
          <w:kern w:val="0"/>
          <w:sz w:val="28"/>
          <w:lang w:val="en-US" w:eastAsia="zh-CN" w:bidi="ar-SA"/>
        </w:rPr>
        <w:t>其他未尽事宜由采购人和成交人在采购合同中详细约定</w:t>
      </w:r>
      <w:bookmarkEnd w:id="332"/>
      <w:bookmarkEnd w:id="333"/>
      <w:bookmarkEnd w:id="334"/>
      <w:bookmarkEnd w:id="335"/>
      <w:bookmarkEnd w:id="336"/>
      <w:bookmarkEnd w:id="337"/>
      <w:bookmarkEnd w:id="338"/>
    </w:p>
    <w:p>
      <w:pPr>
        <w:adjustRightInd w:val="0"/>
        <w:snapToGrid w:val="0"/>
        <w:spacing w:line="520" w:lineRule="exact"/>
        <w:ind w:firstLine="438" w:firstLineChars="200"/>
        <w:jc w:val="left"/>
        <w:rPr>
          <w:rFonts w:ascii="方正仿宋_GBK" w:hAnsi="方正仿宋_GBK" w:eastAsia="仿宋" w:cs="方正仿宋_GBK"/>
          <w:color w:val="auto"/>
          <w:szCs w:val="28"/>
          <w:highlight w:val="none"/>
        </w:rPr>
        <w:sectPr>
          <w:headerReference r:id="rId5" w:type="default"/>
          <w:footerReference r:id="rId6"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p>
    <w:bookmarkEnd w:id="287"/>
    <w:p>
      <w:pPr>
        <w:pStyle w:val="3"/>
        <w:numPr>
          <w:ilvl w:val="0"/>
          <w:numId w:val="0"/>
        </w:numPr>
        <w:tabs>
          <w:tab w:val="clear" w:pos="3360"/>
        </w:tabs>
        <w:spacing w:before="120" w:after="120"/>
        <w:ind w:leftChars="0"/>
        <w:rPr>
          <w:rFonts w:hint="eastAsia"/>
          <w:color w:val="auto"/>
          <w:szCs w:val="22"/>
          <w:highlight w:val="none"/>
        </w:rPr>
      </w:pPr>
      <w:bookmarkStart w:id="339" w:name="_Toc27935"/>
      <w:bookmarkStart w:id="340" w:name="_Toc29580"/>
      <w:bookmarkStart w:id="341" w:name="_Toc29498"/>
      <w:bookmarkStart w:id="342" w:name="_Toc1839"/>
      <w:bookmarkStart w:id="343" w:name="_Toc5105"/>
      <w:bookmarkStart w:id="344" w:name="_Toc19592"/>
      <w:bookmarkStart w:id="345" w:name="_Toc6833"/>
      <w:bookmarkStart w:id="346" w:name="_Toc7497"/>
      <w:bookmarkStart w:id="347" w:name="_Toc3130"/>
      <w:bookmarkStart w:id="348" w:name="_Toc28660"/>
      <w:bookmarkStart w:id="349" w:name="_Toc22566"/>
      <w:bookmarkStart w:id="350" w:name="_Toc20828"/>
      <w:bookmarkStart w:id="351" w:name="_Toc1690"/>
      <w:bookmarkStart w:id="352" w:name="_Toc22480"/>
      <w:bookmarkStart w:id="353" w:name="_Toc22499"/>
      <w:r>
        <w:rPr>
          <w:rFonts w:hint="eastAsia"/>
          <w:color w:val="auto"/>
          <w:szCs w:val="22"/>
          <w:highlight w:val="none"/>
          <w:lang w:eastAsia="zh-CN"/>
        </w:rPr>
        <w:t>第四篇</w:t>
      </w:r>
      <w:r>
        <w:rPr>
          <w:rFonts w:hint="eastAsia"/>
          <w:color w:val="auto"/>
          <w:szCs w:val="22"/>
          <w:highlight w:val="none"/>
          <w:lang w:val="en-US" w:eastAsia="zh-CN"/>
        </w:rPr>
        <w:t xml:space="preserve">  </w:t>
      </w:r>
      <w:r>
        <w:rPr>
          <w:rFonts w:hint="eastAsia"/>
          <w:color w:val="auto"/>
          <w:szCs w:val="22"/>
          <w:highlight w:val="none"/>
        </w:rPr>
        <w:t>磋商程序及方法、评审标准、无效响应和采购终止</w:t>
      </w:r>
      <w:bookmarkEnd w:id="339"/>
      <w:bookmarkEnd w:id="340"/>
      <w:bookmarkEnd w:id="341"/>
      <w:bookmarkEnd w:id="342"/>
      <w:bookmarkEnd w:id="343"/>
      <w:bookmarkEnd w:id="344"/>
      <w:bookmarkEnd w:id="345"/>
      <w:bookmarkEnd w:id="346"/>
      <w:bookmarkEnd w:id="347"/>
      <w:bookmarkEnd w:id="348"/>
      <w:bookmarkEnd w:id="349"/>
      <w:bookmarkEnd w:id="350"/>
      <w:bookmarkEnd w:id="351"/>
    </w:p>
    <w:p>
      <w:pPr>
        <w:spacing w:before="156" w:after="156" w:line="520" w:lineRule="exact"/>
        <w:ind w:firstLine="438" w:firstLineChars="200"/>
        <w:jc w:val="left"/>
        <w:outlineLvl w:val="1"/>
        <w:rPr>
          <w:rFonts w:eastAsia="仿宋" w:cs="宋体"/>
          <w:b/>
          <w:bCs/>
          <w:color w:val="auto"/>
          <w:szCs w:val="28"/>
          <w:highlight w:val="none"/>
        </w:rPr>
      </w:pPr>
      <w:bookmarkStart w:id="354" w:name="_Toc96"/>
      <w:bookmarkStart w:id="355" w:name="_Toc32136"/>
      <w:bookmarkStart w:id="356" w:name="_Toc22776"/>
      <w:bookmarkStart w:id="357" w:name="_Toc30420"/>
      <w:bookmarkStart w:id="358" w:name="_Toc48837316"/>
      <w:bookmarkStart w:id="359" w:name="_Toc30732"/>
      <w:bookmarkStart w:id="360" w:name="_Toc9442"/>
      <w:bookmarkStart w:id="361" w:name="_Toc29327"/>
      <w:bookmarkStart w:id="362" w:name="_Toc8498"/>
      <w:bookmarkStart w:id="363" w:name="_Toc22527"/>
      <w:bookmarkStart w:id="364" w:name="_Toc10656"/>
      <w:bookmarkStart w:id="365" w:name="_Toc1562"/>
      <w:bookmarkStart w:id="366" w:name="_Toc12159"/>
      <w:bookmarkStart w:id="367" w:name="_Toc28762"/>
      <w:bookmarkStart w:id="368" w:name="_Toc22465"/>
      <w:bookmarkStart w:id="369" w:name="_Toc24723"/>
      <w:bookmarkStart w:id="370" w:name="_Toc24613"/>
      <w:bookmarkStart w:id="371" w:name="_Toc32210"/>
      <w:bookmarkStart w:id="372" w:name="_Toc11657"/>
      <w:bookmarkStart w:id="373" w:name="_Toc13835"/>
      <w:bookmarkStart w:id="374" w:name="_Toc13507"/>
      <w:bookmarkStart w:id="375" w:name="_Toc9779"/>
      <w:bookmarkStart w:id="376" w:name="_Toc27190"/>
      <w:bookmarkStart w:id="377" w:name="_Toc28796"/>
      <w:bookmarkStart w:id="378" w:name="_Toc24307"/>
      <w:bookmarkStart w:id="379" w:name="_Toc28893"/>
      <w:r>
        <w:rPr>
          <w:rFonts w:hint="eastAsia" w:eastAsia="仿宋" w:cs="宋体"/>
          <w:b/>
          <w:bCs/>
          <w:color w:val="auto"/>
          <w:szCs w:val="28"/>
          <w:highlight w:val="none"/>
        </w:rPr>
        <w:t>一、磋商程序及方法</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520" w:lineRule="exact"/>
        <w:ind w:firstLine="438" w:firstLineChars="200"/>
        <w:jc w:val="left"/>
        <w:rPr>
          <w:rFonts w:ascii="方正仿宋_GBK" w:hAnsi="仿宋" w:eastAsia="仿宋" w:cs="仿宋"/>
          <w:color w:val="auto"/>
          <w:kern w:val="0"/>
          <w:szCs w:val="28"/>
          <w:highlight w:val="none"/>
        </w:rPr>
      </w:pPr>
      <w:bookmarkStart w:id="380" w:name="_Toc495592656"/>
      <w:bookmarkStart w:id="381" w:name="_Toc493506300"/>
      <w:bookmarkStart w:id="382" w:name="_Toc26415"/>
      <w:bookmarkStart w:id="383" w:name="_Toc492721017"/>
      <w:r>
        <w:rPr>
          <w:rFonts w:hint="eastAsia" w:ascii="方正仿宋_GBK" w:hAnsi="仿宋" w:eastAsia="仿宋" w:cs="仿宋"/>
          <w:color w:val="auto"/>
          <w:kern w:val="0"/>
          <w:szCs w:val="28"/>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（二）磋商小组对各供应商的资格条件、响应文件的有效性、完整性和响应程度进行审查。各供应商只有在完全符合要求的前提下，才能参与正式磋商。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1.资格性审查。依据法律法规和竞争性磋商文件的规定，对响应文件中的资格证明等进行审查，以确定供应商是否具备磋商资格。资格性审查资料表如下：</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7"/>
        <w:gridCol w:w="1724"/>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0"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序号</w:t>
            </w:r>
          </w:p>
        </w:tc>
        <w:tc>
          <w:tcPr>
            <w:tcW w:w="3271" w:type="dxa"/>
            <w:gridSpan w:val="2"/>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检查因素</w:t>
            </w:r>
          </w:p>
        </w:tc>
        <w:tc>
          <w:tcPr>
            <w:tcW w:w="5211"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750"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（一）</w:t>
            </w:r>
          </w:p>
        </w:tc>
        <w:tc>
          <w:tcPr>
            <w:tcW w:w="1547"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《中华人民共和国政府采购法》第二十二条规定</w:t>
            </w: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1.具有独立承担民事责任的能力</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1.供应商法人营业执照（副本）或事业单位法人证书（副本）或个体工商户营业执照或有效的自然人身份证明或社会团体法人登记证书（提供复印件）；</w:t>
            </w:r>
          </w:p>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供应商法定代表人身份证明书和法定代表人授权代表委托书。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2.具有良好的商业信誉和健全的财务会计制度</w:t>
            </w:r>
          </w:p>
        </w:tc>
        <w:tc>
          <w:tcPr>
            <w:tcW w:w="5211" w:type="dxa"/>
            <w:vMerge w:val="restart"/>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2-5项供应商提供“基本资格条件承诺函”（格式见</w:t>
            </w:r>
            <w:r>
              <w:rPr>
                <w:rFonts w:hint="eastAsia" w:eastAsia="仿宋"/>
                <w:color w:val="auto"/>
                <w:kern w:val="0"/>
                <w:sz w:val="21"/>
                <w:szCs w:val="21"/>
                <w:highlight w:val="none"/>
                <w:lang w:eastAsia="zh-CN"/>
              </w:rPr>
              <w:t>后</w:t>
            </w:r>
            <w:r>
              <w:rPr>
                <w:rFonts w:hint="eastAsia" w:eastAsia="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3.具有履行合同所必需的设备和专业技术能力</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4.有依法缴纳税收和社会保障金的良好记录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5.参加政府采购活动前三年内，在经营活动中没有重大违法记录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6.法律、行政法规规定的其他条件</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7.特定资格条件</w:t>
            </w:r>
          </w:p>
        </w:tc>
        <w:tc>
          <w:tcPr>
            <w:tcW w:w="5211" w:type="dxa"/>
            <w:vAlign w:val="center"/>
          </w:tcPr>
          <w:p>
            <w:pPr>
              <w:keepNext w:val="0"/>
              <w:keepLines w:val="0"/>
              <w:suppressLineNumbers w:val="0"/>
              <w:spacing w:before="0" w:beforeAutospacing="0" w:after="0" w:afterAutospacing="0"/>
              <w:ind w:left="0" w:right="0"/>
              <w:jc w:val="left"/>
              <w:rPr>
                <w:rFonts w:hint="eastAsia" w:eastAsia="仿宋"/>
                <w:color w:val="auto"/>
                <w:kern w:val="0"/>
                <w:sz w:val="21"/>
                <w:szCs w:val="21"/>
                <w:highlight w:val="none"/>
                <w:lang w:val="en-US" w:eastAsia="zh-CN"/>
              </w:rPr>
            </w:pPr>
            <w:r>
              <w:rPr>
                <w:rFonts w:hint="eastAsia" w:eastAsia="仿宋"/>
                <w:color w:val="auto"/>
                <w:kern w:val="0"/>
                <w:sz w:val="21"/>
                <w:szCs w:val="21"/>
                <w:highlight w:val="none"/>
                <w:lang w:eastAsia="zh-CN"/>
              </w:rPr>
              <w:t>无</w:t>
            </w:r>
          </w:p>
        </w:tc>
      </w:tr>
    </w:tbl>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说明：以上资格检查证明材料，该年审的应当年审合格，设有效期的应当在有效期内，提供原件的应当有效。提供复印件的应当清晰可见并加盖供应商公章，评审现场能够提供原件以备查验。</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①供应商按“多证合一”登记制度办理营业执照的，组织机构代码证、税务登记证（副本）和社会保险登记证以供应商所提供的营业执照（副本）复印件为准。</w:t>
      </w:r>
    </w:p>
    <w:p>
      <w:pPr>
        <w:snapToGrid w:val="0"/>
        <w:spacing w:line="520" w:lineRule="exact"/>
        <w:ind w:firstLine="438" w:firstLineChars="200"/>
        <w:rPr>
          <w:rFonts w:ascii="方正仿宋_GBK" w:hAnsi="宋体" w:cs="宋体"/>
          <w:color w:val="auto"/>
          <w:kern w:val="0"/>
          <w:szCs w:val="24"/>
          <w:highlight w:val="none"/>
        </w:rPr>
      </w:pPr>
      <w:r>
        <w:rPr>
          <w:rFonts w:hint="eastAsia" w:ascii="方正仿宋_GBK" w:hAnsi="仿宋" w:eastAsia="仿宋" w:cs="仿宋"/>
          <w:color w:val="auto"/>
          <w:kern w:val="0"/>
          <w:szCs w:val="28"/>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22"/>
        <w:gridCol w:w="1723"/>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4"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序号</w:t>
            </w:r>
          </w:p>
        </w:tc>
        <w:tc>
          <w:tcPr>
            <w:tcW w:w="3445" w:type="dxa"/>
            <w:gridSpan w:val="2"/>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评审因素</w:t>
            </w:r>
          </w:p>
        </w:tc>
        <w:tc>
          <w:tcPr>
            <w:tcW w:w="5058"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1</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有效性审查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响应文件签署</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方案</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lang w:val="zh-CN"/>
              </w:rPr>
              <w:t>每个分包只能有一个</w:t>
            </w:r>
            <w:r>
              <w:rPr>
                <w:rFonts w:hint="eastAsia" w:eastAsia="仿宋"/>
                <w:color w:val="auto"/>
                <w:sz w:val="22"/>
                <w:szCs w:val="22"/>
                <w:highlight w:val="none"/>
              </w:rPr>
              <w:t>响应</w:t>
            </w:r>
            <w:r>
              <w:rPr>
                <w:rFonts w:hint="eastAsia" w:eastAsia="仿宋"/>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报价唯一</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lang w:val="zh-CN"/>
              </w:rPr>
              <w:t>只能在采购预算</w:t>
            </w:r>
            <w:r>
              <w:rPr>
                <w:rFonts w:hint="eastAsia" w:eastAsia="仿宋"/>
                <w:color w:val="auto"/>
                <w:sz w:val="22"/>
                <w:szCs w:val="22"/>
                <w:highlight w:val="none"/>
              </w:rPr>
              <w:t>金额或最高限价内</w:t>
            </w:r>
            <w:r>
              <w:rPr>
                <w:rFonts w:hint="eastAsia" w:eastAsia="仿宋"/>
                <w:color w:val="auto"/>
                <w:sz w:val="22"/>
                <w:szCs w:val="22"/>
                <w:highlight w:val="none"/>
                <w:lang w:val="zh-CN"/>
              </w:rPr>
              <w:t>报价，</w:t>
            </w:r>
            <w:r>
              <w:rPr>
                <w:rFonts w:hint="eastAsia" w:eastAsia="仿宋"/>
                <w:color w:val="auto"/>
                <w:sz w:val="22"/>
                <w:szCs w:val="2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2</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完整性审查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文件份数</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文件正、副本数量符合</w:t>
            </w:r>
            <w:r>
              <w:rPr>
                <w:rFonts w:hint="eastAsia" w:eastAsia="仿宋"/>
                <w:color w:val="auto"/>
                <w:sz w:val="22"/>
                <w:szCs w:val="22"/>
                <w:highlight w:val="none"/>
              </w:rPr>
              <w:t>竞争性磋商</w:t>
            </w:r>
            <w:r>
              <w:rPr>
                <w:rFonts w:hint="eastAsia" w:eastAsia="仿宋"/>
                <w:color w:val="auto"/>
                <w:sz w:val="22"/>
                <w:szCs w:val="22"/>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3</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sz w:val="21"/>
                <w:szCs w:val="21"/>
                <w:highlight w:val="none"/>
                <w:lang w:val="zh-CN"/>
              </w:rPr>
            </w:pPr>
            <w:r>
              <w:rPr>
                <w:rFonts w:hint="eastAsia" w:eastAsia="仿宋"/>
                <w:color w:val="auto"/>
                <w:kern w:val="0"/>
                <w:sz w:val="21"/>
                <w:szCs w:val="21"/>
                <w:highlight w:val="none"/>
              </w:rPr>
              <w:t>竞争性磋商文件的响应程度审查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响应文件内容</w:t>
            </w:r>
          </w:p>
        </w:tc>
        <w:tc>
          <w:tcPr>
            <w:tcW w:w="5058" w:type="dxa"/>
            <w:vAlign w:val="center"/>
          </w:tcPr>
          <w:p>
            <w:pPr>
              <w:pStyle w:val="13"/>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default"/>
                <w:color w:val="auto"/>
                <w:sz w:val="21"/>
                <w:szCs w:val="21"/>
              </w:rPr>
              <w:t>对</w:t>
            </w:r>
            <w:r>
              <w:rPr>
                <w:rFonts w:hint="eastAsia"/>
                <w:color w:val="auto"/>
                <w:sz w:val="21"/>
                <w:szCs w:val="21"/>
                <w:lang w:eastAsia="zh-CN"/>
              </w:rPr>
              <w:t>竞争性磋商</w:t>
            </w:r>
            <w:r>
              <w:rPr>
                <w:rFonts w:hint="default"/>
                <w:color w:val="auto"/>
                <w:sz w:val="21"/>
                <w:szCs w:val="21"/>
              </w:rPr>
              <w:t>文件第二、三篇规定的</w:t>
            </w:r>
            <w:r>
              <w:rPr>
                <w:rFonts w:hint="eastAsia"/>
                <w:color w:val="auto"/>
                <w:sz w:val="21"/>
                <w:szCs w:val="21"/>
                <w:lang w:eastAsia="zh-CN"/>
              </w:rPr>
              <w:t>磋商</w:t>
            </w:r>
            <w:r>
              <w:rPr>
                <w:rFonts w:hint="default"/>
                <w:color w:val="auto"/>
                <w:sz w:val="21"/>
                <w:szCs w:val="21"/>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4"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sz w:val="21"/>
                <w:szCs w:val="21"/>
                <w:highlight w:val="none"/>
                <w:lang w:val="zh-CN"/>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磋商有效期</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响应文件及有关承诺文件有效期为提交响应文件截止时间起90天</w:t>
            </w:r>
          </w:p>
        </w:tc>
      </w:tr>
    </w:tbl>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（五）在磋商过程中磋商的任何一方不得向他人透露与磋商有关的服务资料、价格或其他信息。</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（七）供应商在磋商时作出的所有书面承诺须由法定代表人（或其授权代表）或自然人（供应商为自然人）签署。</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八</w:t>
      </w:r>
      <w:r>
        <w:rPr>
          <w:rFonts w:hint="eastAsia" w:ascii="方正仿宋_GBK" w:hAnsi="仿宋" w:eastAsia="仿宋" w:cs="仿宋"/>
          <w:color w:val="auto"/>
          <w:kern w:val="0"/>
          <w:szCs w:val="28"/>
          <w:highlight w:val="none"/>
        </w:rPr>
        <w:t>）磋商小组采用综合评分法对供应商的响应文件和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九</w:t>
      </w:r>
      <w:r>
        <w:rPr>
          <w:rFonts w:hint="eastAsia" w:ascii="方正仿宋_GBK" w:hAnsi="仿宋" w:eastAsia="仿宋" w:cs="仿宋"/>
          <w:color w:val="auto"/>
          <w:kern w:val="0"/>
          <w:szCs w:val="28"/>
          <w:highlight w:val="none"/>
        </w:rPr>
        <w:t>）磋商小组各成员独立对每个有效供应商（通过资格审查、符合性审查的供应商）的响应文件进行评价、打分，然后汇总每个供应商每项评分因素的得分。由磋商小组对各成员打分情况进行核查及复核，个别成员对同一供应商同一评分项的打分偏离较大的，应对供应商的响应文件进行再次核对，确属打分有误的，应及时进行修正。</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复核后，磋商小组汇总每个供应商每项评分因素的得分。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仿宋" w:hAnsi="仿宋"/>
          <w:color w:val="auto"/>
          <w:szCs w:val="24"/>
          <w:highlight w:val="none"/>
        </w:rPr>
        <w:t>评审结果汇总完成后，</w:t>
      </w:r>
      <w:r>
        <w:rPr>
          <w:rFonts w:hint="eastAsia" w:ascii="方正仿宋_GBK" w:hAnsi="仿宋" w:eastAsia="仿宋" w:cs="仿宋"/>
          <w:color w:val="auto"/>
          <w:kern w:val="0"/>
          <w:szCs w:val="28"/>
          <w:highlight w:val="none"/>
        </w:rPr>
        <w:t>除资格性检查认定错误、分值汇总计算错误、分项评分超出评分标准范围、客观分评分不一致、经磋商小组一致认定评分畸高、畸低的情形外，采购人或者采购代理机构不得以任何理由组织重新评审。</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采购人或代理机构应当核对、校对评审数据，出现上款规定情形的，提示磋商小组复核或者书面说明理由，磋商小组拒绝的，应予以记录并向本级财政部门报告。</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（十）磋商小组根据综合评分情况按照评审得分由高到低顺序推荐3名以上成交候选供应商，并编写评审报告。</w:t>
      </w:r>
    </w:p>
    <w:p>
      <w:pPr>
        <w:spacing w:line="520" w:lineRule="exact"/>
        <w:ind w:firstLine="438" w:firstLineChars="200"/>
        <w:jc w:val="left"/>
        <w:rPr>
          <w:rFonts w:ascii="方正黑体_GBK" w:hAnsi="宋体" w:eastAsia="方正黑体_GBK" w:cs="宋体"/>
          <w:color w:val="auto"/>
          <w:sz w:val="28"/>
          <w:szCs w:val="28"/>
          <w:highlight w:val="none"/>
        </w:rPr>
      </w:pPr>
      <w:r>
        <w:rPr>
          <w:rFonts w:hint="eastAsia" w:ascii="方正仿宋_GBK" w:hAnsi="仿宋" w:eastAsia="仿宋" w:cs="仿宋"/>
          <w:color w:val="auto"/>
          <w:kern w:val="0"/>
          <w:szCs w:val="28"/>
          <w:highlight w:val="none"/>
        </w:rPr>
        <w:t>若供应商的评审得分相同的，按照报价由低到高的顺序排列推荐。评审得分且报价相同的，按照服务指标优劣顺序排列推荐。以上都相同的，按商务条款的优劣顺序排列推荐。若所推荐的成交供应商的服务部分为0分，将失去成为成交候选供应商的资格。</w:t>
      </w:r>
    </w:p>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rPr>
      </w:pPr>
      <w:bookmarkStart w:id="384" w:name="_Toc7410"/>
      <w:bookmarkStart w:id="385" w:name="_Toc981"/>
      <w:bookmarkStart w:id="386" w:name="_Toc14750"/>
      <w:bookmarkStart w:id="387" w:name="_Toc5083"/>
      <w:bookmarkStart w:id="388" w:name="_Toc13978"/>
      <w:bookmarkStart w:id="389" w:name="_Toc3255"/>
      <w:bookmarkStart w:id="390" w:name="_Toc32625"/>
      <w:bookmarkStart w:id="391" w:name="_Toc6010"/>
      <w:bookmarkStart w:id="392" w:name="_Toc20991"/>
      <w:bookmarkStart w:id="393" w:name="_Toc5149"/>
      <w:bookmarkStart w:id="394" w:name="_Toc9513"/>
      <w:bookmarkStart w:id="395" w:name="_Toc20066"/>
      <w:bookmarkStart w:id="396" w:name="_Toc28674"/>
      <w:bookmarkStart w:id="397" w:name="_Toc8366"/>
      <w:bookmarkStart w:id="398" w:name="_Toc32741"/>
      <w:bookmarkStart w:id="399" w:name="_Toc861"/>
      <w:bookmarkStart w:id="400" w:name="_Toc25800"/>
      <w:bookmarkStart w:id="401" w:name="_Toc29339"/>
      <w:bookmarkStart w:id="402" w:name="_Toc8521"/>
      <w:bookmarkStart w:id="403" w:name="_Toc31146"/>
      <w:bookmarkStart w:id="404" w:name="_Toc32094"/>
      <w:bookmarkStart w:id="405" w:name="_Toc15483"/>
      <w:bookmarkStart w:id="406" w:name="_Toc9744"/>
      <w:bookmarkStart w:id="407" w:name="_Toc4709"/>
      <w:bookmarkStart w:id="408" w:name="_Toc48837317"/>
      <w:bookmarkStart w:id="409" w:name="_Toc31234"/>
      <w:r>
        <w:rPr>
          <w:rFonts w:hint="eastAsia" w:ascii="Times New Roman" w:hAnsi="Times New Roman" w:eastAsia="仿宋" w:cs="宋体"/>
          <w:b/>
          <w:bCs/>
          <w:color w:val="auto"/>
          <w:szCs w:val="28"/>
          <w:highlight w:val="none"/>
          <w:lang w:eastAsia="zh-CN"/>
        </w:rPr>
        <w:t>二、</w:t>
      </w:r>
      <w:r>
        <w:rPr>
          <w:rFonts w:hint="eastAsia" w:ascii="Times New Roman" w:hAnsi="Times New Roman" w:eastAsia="仿宋" w:cs="宋体"/>
          <w:b/>
          <w:bCs/>
          <w:color w:val="auto"/>
          <w:szCs w:val="28"/>
          <w:highlight w:val="none"/>
        </w:rPr>
        <w:t>评审标准</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bl>
      <w:tblPr>
        <w:tblStyle w:val="2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930"/>
        <w:gridCol w:w="471"/>
        <w:gridCol w:w="725"/>
        <w:gridCol w:w="538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bookmarkStart w:id="410" w:name="_Toc394390666"/>
            <w:r>
              <w:rPr>
                <w:rFonts w:hint="eastAsia" w:ascii="方正仿宋_GBK" w:hAnsi="宋体" w:eastAsia="方正仿宋_GBK" w:cs="Times New Roman"/>
                <w:color w:val="auto"/>
                <w:sz w:val="21"/>
                <w:szCs w:val="21"/>
              </w:rPr>
              <w:t>序号</w:t>
            </w:r>
          </w:p>
        </w:tc>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评分因素及权值</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分值</w:t>
            </w:r>
          </w:p>
        </w:tc>
        <w:tc>
          <w:tcPr>
            <w:tcW w:w="5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评分标准</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jc w:val="center"/>
              <w:rPr>
                <w:rFonts w:hint="eastAsia"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1</w:t>
            </w:r>
          </w:p>
        </w:tc>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210" w:right="0" w:hanging="189" w:hangingChars="10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lang w:val="en-US" w:eastAsia="zh-CN"/>
              </w:rPr>
              <w:t>报价</w:t>
            </w:r>
            <w:r>
              <w:rPr>
                <w:rFonts w:hint="eastAsia" w:ascii="方正仿宋_GBK" w:hAnsi="宋体" w:eastAsia="方正仿宋_GBK" w:cs="Times New Roman"/>
                <w:color w:val="auto"/>
                <w:sz w:val="21"/>
                <w:szCs w:val="21"/>
              </w:rPr>
              <w:t>部分（</w:t>
            </w:r>
            <w:r>
              <w:rPr>
                <w:rFonts w:hint="eastAsia" w:ascii="方正仿宋_GBK" w:hAnsi="宋体" w:eastAsia="方正仿宋_GBK" w:cs="Times New Roman"/>
                <w:color w:val="auto"/>
                <w:sz w:val="21"/>
                <w:szCs w:val="21"/>
                <w:lang w:val="en-US" w:eastAsia="zh-CN"/>
              </w:rPr>
              <w:t>3</w:t>
            </w:r>
            <w:r>
              <w:rPr>
                <w:rFonts w:hint="eastAsia" w:ascii="方正仿宋_GBK" w:hAnsi="宋体" w:eastAsia="方正仿宋_GBK" w:cs="Times New Roman"/>
                <w:color w:val="auto"/>
                <w:sz w:val="21"/>
                <w:szCs w:val="21"/>
              </w:rPr>
              <w:t>0%）</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lang w:val="en-US" w:eastAsia="zh-CN"/>
              </w:rPr>
              <w:t>3</w:t>
            </w:r>
            <w:r>
              <w:rPr>
                <w:rFonts w:hint="eastAsia" w:ascii="方正仿宋_GBK" w:hAnsi="宋体" w:eastAsia="方正仿宋_GBK" w:cs="Times New Roman"/>
                <w:color w:val="auto"/>
                <w:sz w:val="21"/>
                <w:szCs w:val="21"/>
              </w:rPr>
              <w:t>0</w:t>
            </w:r>
          </w:p>
        </w:tc>
        <w:tc>
          <w:tcPr>
            <w:tcW w:w="5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378" w:firstLineChars="200"/>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满足资格要求且报价最低的供应商的价格为</w:t>
            </w:r>
            <w:r>
              <w:rPr>
                <w:rFonts w:hint="eastAsia" w:ascii="方正仿宋_GBK" w:hAnsi="宋体" w:cs="Times New Roman"/>
                <w:color w:val="auto"/>
                <w:sz w:val="21"/>
                <w:szCs w:val="21"/>
                <w:lang w:eastAsia="zh-CN"/>
              </w:rPr>
              <w:t>磋商</w:t>
            </w:r>
            <w:r>
              <w:rPr>
                <w:rFonts w:hint="eastAsia" w:ascii="方正仿宋_GBK" w:hAnsi="宋体" w:eastAsia="方正仿宋_GBK" w:cs="Times New Roman"/>
                <w:color w:val="auto"/>
                <w:sz w:val="21"/>
                <w:szCs w:val="21"/>
              </w:rPr>
              <w:t>基准价，按照下列公式计算每个供应商的</w:t>
            </w:r>
            <w:r>
              <w:rPr>
                <w:rFonts w:hint="eastAsia" w:ascii="方正仿宋_GBK" w:hAnsi="宋体" w:cs="Times New Roman"/>
                <w:color w:val="auto"/>
                <w:sz w:val="21"/>
                <w:szCs w:val="21"/>
                <w:lang w:eastAsia="zh-CN"/>
              </w:rPr>
              <w:t>磋商</w:t>
            </w:r>
            <w:r>
              <w:rPr>
                <w:rFonts w:hint="eastAsia" w:ascii="方正仿宋_GBK" w:hAnsi="宋体" w:eastAsia="方正仿宋_GBK" w:cs="Times New Roman"/>
                <w:color w:val="auto"/>
                <w:sz w:val="21"/>
                <w:szCs w:val="21"/>
              </w:rPr>
              <w:t>报价得分。</w:t>
            </w:r>
          </w:p>
          <w:p>
            <w:pPr>
              <w:keepNext w:val="0"/>
              <w:keepLines w:val="0"/>
              <w:suppressLineNumbers w:val="0"/>
              <w:snapToGrid w:val="0"/>
              <w:spacing w:before="0" w:beforeAutospacing="0" w:after="0" w:afterAutospacing="0" w:line="380" w:lineRule="exact"/>
              <w:ind w:left="0" w:right="0" w:firstLine="378" w:firstLineChars="200"/>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报价得分=（基准价/报价）×价格权值×100</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rPr>
                <w:rFonts w:hint="eastAsia" w:ascii="方正仿宋_GBK" w:hAnsi="宋体"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45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2</w:t>
            </w:r>
          </w:p>
        </w:tc>
        <w:tc>
          <w:tcPr>
            <w:tcW w:w="93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jc w:val="center"/>
              <w:rPr>
                <w:rFonts w:hint="eastAsia" w:ascii="方正仿宋_GBK" w:hAnsi="宋体" w:eastAsia="方正仿宋_GBK" w:cs="Times New Roman"/>
                <w:color w:val="auto"/>
                <w:sz w:val="21"/>
                <w:szCs w:val="21"/>
              </w:rPr>
            </w:pPr>
          </w:p>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服务</w:t>
            </w:r>
          </w:p>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方案</w:t>
            </w:r>
          </w:p>
          <w:p>
            <w:pPr>
              <w:keepNext w:val="0"/>
              <w:keepLines w:val="0"/>
              <w:suppressLineNumbers w:val="0"/>
              <w:snapToGrid w:val="0"/>
              <w:spacing w:before="0" w:beforeAutospacing="0" w:after="0" w:afterAutospacing="0" w:line="380" w:lineRule="exact"/>
              <w:ind w:left="0" w:right="0"/>
              <w:jc w:val="center"/>
              <w:rPr>
                <w:rFonts w:hint="default"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rPr>
              <w:t>（</w:t>
            </w:r>
            <w:r>
              <w:rPr>
                <w:rFonts w:hint="eastAsia" w:ascii="方正仿宋_GBK" w:hAnsi="宋体" w:eastAsia="方正仿宋_GBK" w:cs="Times New Roman"/>
                <w:color w:val="auto"/>
                <w:sz w:val="21"/>
                <w:szCs w:val="21"/>
                <w:lang w:val="en-US" w:eastAsia="zh-CN"/>
              </w:rPr>
              <w:t>6</w:t>
            </w:r>
            <w:r>
              <w:rPr>
                <w:rFonts w:hint="eastAsia" w:ascii="方正仿宋_GBK" w:hAnsi="宋体" w:eastAsia="方正仿宋_GBK" w:cs="Times New Roman"/>
                <w:color w:val="auto"/>
                <w:sz w:val="21"/>
                <w:szCs w:val="21"/>
              </w:rPr>
              <w:t>0%）</w:t>
            </w:r>
          </w:p>
        </w:tc>
        <w:tc>
          <w:tcPr>
            <w:tcW w:w="471"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lang w:eastAsia="zh-CN"/>
              </w:rPr>
            </w:pPr>
            <w:r>
              <w:rPr>
                <w:rFonts w:hint="eastAsia" w:ascii="方正仿宋_GBK" w:hAnsi="宋体" w:eastAsia="方正仿宋_GBK" w:cs="Times New Roman"/>
                <w:color w:val="auto"/>
                <w:sz w:val="21"/>
                <w:szCs w:val="21"/>
                <w:lang w:val="en-US" w:eastAsia="zh-CN"/>
              </w:rPr>
              <w:t>设计</w:t>
            </w:r>
          </w:p>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方案</w:t>
            </w:r>
          </w:p>
        </w:tc>
        <w:tc>
          <w:tcPr>
            <w:tcW w:w="725"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cs="Times New Roman"/>
                <w:color w:val="auto"/>
                <w:sz w:val="21"/>
                <w:szCs w:val="21"/>
                <w:lang w:val="en-US" w:eastAsia="zh-CN"/>
              </w:rPr>
              <w:t>3</w:t>
            </w:r>
            <w:r>
              <w:rPr>
                <w:rFonts w:hint="eastAsia" w:ascii="方正仿宋_GBK" w:hAnsi="宋体" w:eastAsia="方正仿宋_GBK" w:cs="Times New Roman"/>
                <w:color w:val="auto"/>
                <w:sz w:val="21"/>
                <w:szCs w:val="21"/>
              </w:rPr>
              <w:t>0</w:t>
            </w:r>
          </w:p>
        </w:tc>
        <w:tc>
          <w:tcPr>
            <w:tcW w:w="5385"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rPr>
                <w:rFonts w:hint="eastAsia" w:ascii="方正仿宋_GBK" w:hAnsi="宋体" w:eastAsia="方正仿宋_GBK" w:cs="Times New Roman"/>
                <w:sz w:val="21"/>
                <w:szCs w:val="21"/>
                <w:lang w:eastAsia="zh-CN"/>
              </w:rPr>
            </w:pPr>
            <w:r>
              <w:rPr>
                <w:rFonts w:hint="eastAsia" w:ascii="方正仿宋_GBK" w:hAnsi="宋体" w:eastAsia="方正仿宋_GBK" w:cs="Times New Roman"/>
                <w:sz w:val="21"/>
                <w:szCs w:val="21"/>
                <w:lang w:val="en-US" w:eastAsia="zh-CN"/>
              </w:rPr>
              <w:t>制定内科序列、妇产科党建、廉政、业务等宣传服务方案，包括设计理念、总体风格等。对</w:t>
            </w:r>
            <w:r>
              <w:rPr>
                <w:rFonts w:hint="eastAsia" w:ascii="方正仿宋_GBK" w:hAnsi="宋体" w:eastAsia="方正仿宋_GBK" w:cs="Times New Roman"/>
                <w:sz w:val="21"/>
                <w:szCs w:val="21"/>
              </w:rPr>
              <w:t>服务方案的</w:t>
            </w:r>
            <w:r>
              <w:rPr>
                <w:rFonts w:hint="eastAsia" w:ascii="方正仿宋_GBK" w:hAnsi="宋体" w:eastAsia="方正仿宋_GBK" w:cs="Times New Roman"/>
                <w:sz w:val="21"/>
                <w:szCs w:val="21"/>
                <w:lang w:val="en-US" w:eastAsia="zh-CN"/>
              </w:rPr>
              <w:t>完整性、</w:t>
            </w:r>
            <w:r>
              <w:rPr>
                <w:rFonts w:hint="eastAsia" w:ascii="方正仿宋_GBK" w:hAnsi="宋体" w:eastAsia="方正仿宋_GBK" w:cs="Times New Roman"/>
                <w:sz w:val="21"/>
                <w:szCs w:val="21"/>
              </w:rPr>
              <w:t>创意特色等进行综合评分</w:t>
            </w:r>
            <w:r>
              <w:rPr>
                <w:rFonts w:hint="eastAsia" w:ascii="方正仿宋_GBK" w:hAnsi="宋体" w:eastAsia="方正仿宋_GBK" w:cs="Times New Roman"/>
                <w:sz w:val="21"/>
                <w:szCs w:val="21"/>
                <w:lang w:eastAsia="zh-CN"/>
              </w:rPr>
              <w:t>，</w:t>
            </w:r>
            <w:r>
              <w:rPr>
                <w:rFonts w:hint="eastAsia" w:ascii="方正仿宋_GBK" w:hAnsi="宋体" w:eastAsia="方正仿宋_GBK" w:cs="Times New Roman"/>
                <w:sz w:val="21"/>
                <w:szCs w:val="21"/>
                <w:lang w:val="en-US" w:eastAsia="zh-CN"/>
              </w:rPr>
              <w:t>最高得30分</w:t>
            </w:r>
            <w:r>
              <w:rPr>
                <w:rFonts w:hint="eastAsia" w:ascii="方正仿宋_GBK" w:hAnsi="宋体" w:cs="Times New Roman"/>
                <w:sz w:val="21"/>
                <w:szCs w:val="21"/>
                <w:lang w:val="en-US" w:eastAsia="zh-CN"/>
              </w:rPr>
              <w:t>,根据设计方案横向比较</w:t>
            </w:r>
            <w:r>
              <w:rPr>
                <w:rFonts w:hint="eastAsia" w:ascii="方正仿宋_GBK" w:hAnsi="宋体" w:eastAsia="方正仿宋_GBK" w:cs="Times New Roman"/>
                <w:sz w:val="21"/>
                <w:szCs w:val="21"/>
                <w:lang w:eastAsia="zh-CN"/>
              </w:rPr>
              <w:t>：</w:t>
            </w:r>
          </w:p>
          <w:p>
            <w:pPr>
              <w:pStyle w:val="2"/>
              <w:keepNext w:val="0"/>
              <w:keepLines w:val="0"/>
              <w:suppressLineNumbers w:val="0"/>
              <w:spacing w:before="0" w:beforeAutospacing="0" w:after="0" w:afterAutospacing="0"/>
              <w:ind w:left="0" w:right="0"/>
              <w:rPr>
                <w:rFonts w:hint="eastAsia"/>
                <w:color w:val="auto"/>
              </w:rPr>
            </w:pPr>
            <w:r>
              <w:rPr>
                <w:rFonts w:hint="eastAsia" w:ascii="方正仿宋_GBK" w:hAnsi="宋体" w:eastAsia="方正仿宋_GBK" w:cs="Times New Roman"/>
                <w:sz w:val="21"/>
                <w:szCs w:val="21"/>
                <w:lang w:val="en-US" w:eastAsia="zh-CN"/>
              </w:rPr>
              <w:t>优得30分；良得20分；一般得10分；差得5 分，无方案得0分。</w:t>
            </w:r>
          </w:p>
        </w:tc>
        <w:tc>
          <w:tcPr>
            <w:tcW w:w="166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rPr>
                <w:rFonts w:hint="default"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提供详细的服务方案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45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jc w:val="center"/>
              <w:rPr>
                <w:rFonts w:hint="eastAsia" w:ascii="方正仿宋_GBK" w:hAnsi="宋体" w:eastAsia="方正仿宋_GBK" w:cs="Times New Roman"/>
                <w:color w:val="auto"/>
                <w:sz w:val="21"/>
                <w:szCs w:val="21"/>
              </w:rPr>
            </w:pPr>
          </w:p>
        </w:tc>
        <w:tc>
          <w:tcPr>
            <w:tcW w:w="93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jc w:val="center"/>
              <w:rPr>
                <w:rFonts w:hint="eastAsia" w:ascii="方正仿宋_GBK" w:hAnsi="宋体" w:eastAsia="方正仿宋_GBK" w:cs="Times New Roman"/>
                <w:color w:val="auto"/>
                <w:sz w:val="21"/>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lang w:eastAsia="zh-CN"/>
              </w:rPr>
            </w:pPr>
            <w:r>
              <w:rPr>
                <w:rFonts w:hint="eastAsia" w:ascii="方正仿宋_GBK" w:hAnsi="宋体" w:eastAsia="方正仿宋_GBK" w:cs="Times New Roman"/>
                <w:color w:val="auto"/>
                <w:sz w:val="21"/>
                <w:szCs w:val="21"/>
                <w:lang w:val="en-US" w:eastAsia="zh-CN"/>
              </w:rPr>
              <w:t>制作能力</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jc w:val="center"/>
              <w:rPr>
                <w:rFonts w:hint="eastAsia" w:ascii="方正仿宋_GBK" w:hAnsi="宋体" w:eastAsia="方正仿宋_GBK" w:cs="Times New Roman"/>
                <w:color w:val="auto"/>
                <w:sz w:val="21"/>
                <w:szCs w:val="21"/>
              </w:rPr>
            </w:pPr>
            <w:r>
              <w:rPr>
                <w:rFonts w:hint="eastAsia" w:ascii="方正仿宋_GBK" w:hAnsi="宋体" w:cs="Times New Roman"/>
                <w:color w:val="auto"/>
                <w:sz w:val="21"/>
                <w:szCs w:val="21"/>
                <w:lang w:val="en-US" w:eastAsia="zh-CN"/>
              </w:rPr>
              <w:t>3</w:t>
            </w:r>
            <w:r>
              <w:rPr>
                <w:rFonts w:hint="eastAsia" w:ascii="方正仿宋_GBK" w:hAnsi="宋体" w:eastAsia="方正仿宋_GBK" w:cs="Times New Roman"/>
                <w:color w:val="auto"/>
                <w:sz w:val="21"/>
                <w:szCs w:val="21"/>
              </w:rPr>
              <w:t>0</w:t>
            </w:r>
          </w:p>
        </w:tc>
        <w:tc>
          <w:tcPr>
            <w:tcW w:w="5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firstLine="284" w:firstLineChars="150"/>
              <w:rPr>
                <w:rFonts w:hint="eastAsia" w:ascii="方正仿宋_GBK" w:hAnsi="宋体" w:eastAsia="方正仿宋_GBK" w:cs="Times New Roman"/>
                <w:color w:val="auto"/>
                <w:sz w:val="21"/>
                <w:szCs w:val="21"/>
                <w:lang w:val="en-US" w:eastAsia="zh-CN"/>
              </w:rPr>
            </w:pPr>
          </w:p>
          <w:p>
            <w:pPr>
              <w:keepNext w:val="0"/>
              <w:keepLines w:val="0"/>
              <w:suppressLineNumbers w:val="0"/>
              <w:snapToGrid w:val="0"/>
              <w:spacing w:before="0" w:beforeAutospacing="0" w:after="0" w:afterAutospacing="0" w:line="380" w:lineRule="exact"/>
              <w:ind w:left="0" w:right="0" w:firstLine="284" w:firstLineChars="150"/>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lang w:val="en-US" w:eastAsia="zh-CN"/>
              </w:rPr>
              <w:t>制作PPT</w:t>
            </w:r>
            <w:r>
              <w:rPr>
                <w:rFonts w:hint="eastAsia" w:ascii="方正仿宋_GBK" w:hAnsi="宋体" w:cs="Times New Roman"/>
                <w:color w:val="auto"/>
                <w:sz w:val="21"/>
                <w:szCs w:val="21"/>
                <w:lang w:val="en-US" w:eastAsia="zh-CN"/>
              </w:rPr>
              <w:t>讲解并录制视频</w:t>
            </w:r>
            <w:r>
              <w:rPr>
                <w:rFonts w:hint="eastAsia" w:ascii="方正仿宋_GBK" w:hAnsi="宋体" w:eastAsia="方正仿宋_GBK" w:cs="Times New Roman"/>
                <w:color w:val="auto"/>
                <w:sz w:val="21"/>
                <w:szCs w:val="21"/>
                <w:lang w:val="en-US" w:eastAsia="zh-CN"/>
              </w:rPr>
              <w:t>,充分展示对该项目的设计特色、设计效果，包括服务团队、服务质量以及服务能力</w:t>
            </w:r>
            <w:r>
              <w:rPr>
                <w:rFonts w:hint="eastAsia" w:ascii="方正仿宋_GBK" w:hAnsi="宋体" w:eastAsia="方正仿宋_GBK" w:cs="Times New Roman"/>
                <w:color w:val="auto"/>
                <w:sz w:val="21"/>
                <w:szCs w:val="21"/>
                <w:lang w:eastAsia="zh-CN"/>
              </w:rPr>
              <w:t>，</w:t>
            </w:r>
            <w:r>
              <w:rPr>
                <w:rFonts w:hint="eastAsia" w:ascii="方正仿宋_GBK" w:hAnsi="宋体" w:eastAsia="方正仿宋_GBK" w:cs="Times New Roman"/>
                <w:color w:val="auto"/>
                <w:sz w:val="21"/>
                <w:szCs w:val="21"/>
                <w:lang w:val="en-US" w:eastAsia="zh-CN"/>
              </w:rPr>
              <w:t>最高得</w:t>
            </w:r>
            <w:r>
              <w:rPr>
                <w:rFonts w:hint="eastAsia" w:ascii="方正仿宋_GBK" w:hAnsi="宋体" w:cs="Times New Roman"/>
                <w:color w:val="auto"/>
                <w:sz w:val="21"/>
                <w:szCs w:val="21"/>
                <w:lang w:val="en-US" w:eastAsia="zh-CN"/>
              </w:rPr>
              <w:t>3</w:t>
            </w:r>
            <w:r>
              <w:rPr>
                <w:rFonts w:hint="eastAsia" w:ascii="方正仿宋_GBK" w:hAnsi="宋体" w:eastAsia="方正仿宋_GBK" w:cs="Times New Roman"/>
                <w:color w:val="auto"/>
                <w:sz w:val="21"/>
                <w:szCs w:val="21"/>
                <w:lang w:val="en-US" w:eastAsia="zh-CN"/>
              </w:rPr>
              <w:t>0分</w:t>
            </w:r>
            <w:r>
              <w:rPr>
                <w:rFonts w:hint="eastAsia" w:ascii="方正仿宋_GBK" w:hAnsi="宋体" w:cs="Times New Roman"/>
                <w:color w:val="auto"/>
                <w:sz w:val="21"/>
                <w:szCs w:val="21"/>
                <w:lang w:val="en-US" w:eastAsia="zh-CN"/>
              </w:rPr>
              <w:t>，</w:t>
            </w:r>
            <w:r>
              <w:rPr>
                <w:rFonts w:hint="eastAsia" w:ascii="方正仿宋_GBK" w:hAnsi="宋体" w:eastAsia="方正仿宋_GBK" w:cs="Times New Roman"/>
                <w:color w:val="auto"/>
                <w:sz w:val="21"/>
                <w:szCs w:val="21"/>
              </w:rPr>
              <w:t>：</w:t>
            </w:r>
          </w:p>
          <w:p>
            <w:pPr>
              <w:keepNext w:val="0"/>
              <w:keepLines w:val="0"/>
              <w:suppressLineNumbers w:val="0"/>
              <w:snapToGrid w:val="0"/>
              <w:spacing w:before="0" w:beforeAutospacing="0" w:after="0" w:afterAutospacing="0" w:line="380" w:lineRule="exact"/>
              <w:ind w:left="0" w:right="0" w:firstLine="284" w:firstLineChars="150"/>
              <w:rPr>
                <w:rFonts w:hint="eastAsia"/>
                <w:color w:val="auto"/>
                <w:szCs w:val="20"/>
              </w:rPr>
            </w:pPr>
            <w:r>
              <w:rPr>
                <w:rFonts w:hint="eastAsia" w:ascii="方正仿宋_GBK" w:hAnsi="宋体" w:eastAsia="方正仿宋_GBK" w:cs="Times New Roman"/>
                <w:color w:val="auto"/>
                <w:sz w:val="21"/>
                <w:szCs w:val="21"/>
                <w:lang w:val="en-US" w:eastAsia="zh-CN"/>
              </w:rPr>
              <w:t>优得</w:t>
            </w:r>
            <w:r>
              <w:rPr>
                <w:rFonts w:hint="eastAsia" w:ascii="方正仿宋_GBK" w:hAnsi="宋体" w:cs="Times New Roman"/>
                <w:color w:val="auto"/>
                <w:sz w:val="21"/>
                <w:szCs w:val="21"/>
                <w:lang w:val="en-US" w:eastAsia="zh-CN"/>
              </w:rPr>
              <w:t>3</w:t>
            </w:r>
            <w:r>
              <w:rPr>
                <w:rFonts w:hint="eastAsia" w:ascii="方正仿宋_GBK" w:hAnsi="宋体" w:eastAsia="方正仿宋_GBK" w:cs="Times New Roman"/>
                <w:color w:val="auto"/>
                <w:sz w:val="21"/>
                <w:szCs w:val="21"/>
                <w:lang w:val="en-US" w:eastAsia="zh-CN"/>
              </w:rPr>
              <w:t>0分；良得</w:t>
            </w:r>
            <w:r>
              <w:rPr>
                <w:rFonts w:hint="eastAsia" w:ascii="方正仿宋_GBK" w:hAnsi="宋体" w:cs="Times New Roman"/>
                <w:color w:val="auto"/>
                <w:sz w:val="21"/>
                <w:szCs w:val="21"/>
                <w:lang w:val="en-US" w:eastAsia="zh-CN"/>
              </w:rPr>
              <w:t>2</w:t>
            </w:r>
            <w:r>
              <w:rPr>
                <w:rFonts w:hint="eastAsia" w:ascii="方正仿宋_GBK" w:hAnsi="宋体" w:eastAsia="方正仿宋_GBK" w:cs="Times New Roman"/>
                <w:color w:val="auto"/>
                <w:sz w:val="21"/>
                <w:szCs w:val="21"/>
                <w:lang w:val="en-US" w:eastAsia="zh-CN"/>
              </w:rPr>
              <w:t>0分；一般得</w:t>
            </w:r>
            <w:r>
              <w:rPr>
                <w:rFonts w:hint="eastAsia" w:ascii="方正仿宋_GBK" w:hAnsi="宋体" w:cs="Times New Roman"/>
                <w:color w:val="auto"/>
                <w:sz w:val="21"/>
                <w:szCs w:val="21"/>
                <w:lang w:val="en-US" w:eastAsia="zh-CN"/>
              </w:rPr>
              <w:t>10</w:t>
            </w:r>
            <w:r>
              <w:rPr>
                <w:rFonts w:hint="eastAsia" w:ascii="方正仿宋_GBK" w:hAnsi="宋体" w:eastAsia="方正仿宋_GBK" w:cs="Times New Roman"/>
                <w:color w:val="auto"/>
                <w:sz w:val="21"/>
                <w:szCs w:val="21"/>
                <w:lang w:val="en-US" w:eastAsia="zh-CN"/>
              </w:rPr>
              <w:t>分，差得</w:t>
            </w:r>
            <w:r>
              <w:rPr>
                <w:rFonts w:hint="eastAsia" w:ascii="方正仿宋_GBK" w:hAnsi="宋体" w:cs="Times New Roman"/>
                <w:color w:val="auto"/>
                <w:sz w:val="21"/>
                <w:szCs w:val="21"/>
                <w:lang w:val="en-US" w:eastAsia="zh-CN"/>
              </w:rPr>
              <w:t>5</w:t>
            </w:r>
            <w:r>
              <w:rPr>
                <w:rFonts w:hint="eastAsia" w:ascii="方正仿宋_GBK" w:hAnsi="宋体" w:eastAsia="方正仿宋_GBK" w:cs="Times New Roman"/>
                <w:color w:val="auto"/>
                <w:sz w:val="21"/>
                <w:szCs w:val="21"/>
                <w:lang w:val="en-US" w:eastAsia="zh-CN"/>
              </w:rPr>
              <w:t>分</w:t>
            </w:r>
            <w:r>
              <w:rPr>
                <w:rFonts w:hint="eastAsia" w:ascii="方正仿宋_GBK" w:hAnsi="宋体" w:cs="Times New Roman"/>
                <w:color w:val="auto"/>
                <w:sz w:val="21"/>
                <w:szCs w:val="21"/>
                <w:lang w:val="en-US" w:eastAsia="zh-CN"/>
              </w:rPr>
              <w:t>，无不得分</w:t>
            </w:r>
            <w:r>
              <w:rPr>
                <w:rFonts w:hint="eastAsia" w:ascii="方正仿宋_GBK" w:hAnsi="宋体" w:eastAsia="方正仿宋_GBK" w:cs="Times New Roman"/>
                <w:color w:val="auto"/>
                <w:sz w:val="21"/>
                <w:szCs w:val="21"/>
                <w:lang w:val="en-US" w:eastAsia="zh-CN"/>
              </w:rPr>
              <w:t xml:space="preserve">。    </w:t>
            </w:r>
          </w:p>
          <w:p>
            <w:pPr>
              <w:keepNext w:val="0"/>
              <w:keepLines w:val="0"/>
              <w:numPr>
                <w:ilvl w:val="0"/>
                <w:numId w:val="0"/>
              </w:numPr>
              <w:suppressLineNumbers w:val="0"/>
              <w:snapToGrid w:val="0"/>
              <w:spacing w:before="0" w:beforeAutospacing="0" w:after="0" w:afterAutospacing="0" w:line="380" w:lineRule="exact"/>
              <w:ind w:left="0" w:right="0"/>
              <w:rPr>
                <w:rFonts w:hint="eastAsia" w:ascii="方正仿宋_GBK" w:hAnsi="宋体" w:eastAsia="方正仿宋_GBK" w:cs="Times New Roman"/>
                <w:color w:val="auto"/>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rPr>
                <w:rFonts w:hint="default"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提供PPT</w:t>
            </w:r>
            <w:r>
              <w:rPr>
                <w:rFonts w:hint="eastAsia" w:ascii="方正仿宋_GBK" w:hAnsi="宋体" w:cs="Times New Roman"/>
                <w:color w:val="auto"/>
                <w:sz w:val="21"/>
                <w:szCs w:val="21"/>
                <w:lang w:val="en-US" w:eastAsia="zh-CN"/>
              </w:rPr>
              <w:t>讲解演示视频，视频长度不超过10分钟。根据视频横向比较。未提供视频或视频无法播放不得分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453" w:type="dxa"/>
            <w:tcBorders>
              <w:top w:val="single" w:color="auto" w:sz="4" w:space="0"/>
              <w:left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center"/>
              <w:rPr>
                <w:rFonts w:hint="default" w:eastAsia="方正仿宋_GBK"/>
                <w:color w:val="auto"/>
                <w:sz w:val="24"/>
                <w:szCs w:val="24"/>
              </w:rPr>
            </w:pPr>
            <w:r>
              <w:rPr>
                <w:rFonts w:hint="eastAsia" w:ascii="方正仿宋_GBK" w:hAnsi="宋体" w:eastAsia="方正仿宋_GBK" w:cs="Times New Roman"/>
                <w:color w:val="auto"/>
                <w:sz w:val="21"/>
                <w:szCs w:val="21"/>
              </w:rPr>
              <w:t>3</w:t>
            </w:r>
          </w:p>
        </w:tc>
        <w:tc>
          <w:tcPr>
            <w:tcW w:w="93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商务</w:t>
            </w:r>
          </w:p>
          <w:p>
            <w:pPr>
              <w:keepNext w:val="0"/>
              <w:keepLines w:val="0"/>
              <w:suppressLineNumbers w:val="0"/>
              <w:spacing w:before="0" w:beforeAutospacing="0" w:after="0" w:afterAutospacing="0"/>
              <w:ind w:left="0" w:right="0"/>
              <w:jc w:val="center"/>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部分</w:t>
            </w:r>
          </w:p>
          <w:p>
            <w:pPr>
              <w:keepNext w:val="0"/>
              <w:keepLines w:val="0"/>
              <w:suppressLineNumbers w:val="0"/>
              <w:spacing w:before="0" w:beforeAutospacing="0" w:after="0" w:afterAutospacing="0"/>
              <w:ind w:left="0" w:right="0"/>
              <w:jc w:val="center"/>
              <w:rPr>
                <w:rFonts w:hint="default"/>
                <w:color w:val="auto"/>
                <w:szCs w:val="20"/>
              </w:rPr>
            </w:pPr>
            <w:r>
              <w:rPr>
                <w:rFonts w:hint="eastAsia" w:ascii="方正仿宋_GBK" w:hAnsi="宋体" w:eastAsia="方正仿宋_GBK" w:cs="Times New Roman"/>
                <w:color w:val="auto"/>
                <w:kern w:val="2"/>
                <w:sz w:val="21"/>
                <w:szCs w:val="21"/>
                <w:lang w:val="en-US" w:eastAsia="zh-CN" w:bidi="ar-SA"/>
              </w:rPr>
              <w:t>（10%）</w:t>
            </w:r>
          </w:p>
        </w:tc>
        <w:tc>
          <w:tcPr>
            <w:tcW w:w="47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企业实力</w:t>
            </w:r>
          </w:p>
        </w:tc>
        <w:tc>
          <w:tcPr>
            <w:tcW w:w="72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10</w:t>
            </w:r>
          </w:p>
        </w:tc>
        <w:tc>
          <w:tcPr>
            <w:tcW w:w="5385" w:type="dxa"/>
            <w:tcBorders>
              <w:top w:val="single" w:color="auto" w:sz="4" w:space="0"/>
              <w:left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firstLine="189" w:firstLineChars="100"/>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提供2020年1月1日以来承接</w:t>
            </w:r>
            <w:r>
              <w:rPr>
                <w:rFonts w:hint="eastAsia" w:ascii="方正仿宋_GBK" w:hAnsi="宋体" w:cs="Times New Roman"/>
                <w:color w:val="auto"/>
                <w:kern w:val="2"/>
                <w:sz w:val="21"/>
                <w:szCs w:val="21"/>
                <w:lang w:val="en-US" w:eastAsia="zh-CN" w:bidi="ar-SA"/>
              </w:rPr>
              <w:t>类似</w:t>
            </w:r>
            <w:r>
              <w:rPr>
                <w:rFonts w:hint="eastAsia" w:ascii="方正仿宋_GBK" w:hAnsi="宋体" w:eastAsia="方正仿宋_GBK" w:cs="Times New Roman"/>
                <w:color w:val="auto"/>
                <w:kern w:val="2"/>
                <w:sz w:val="21"/>
                <w:szCs w:val="21"/>
                <w:lang w:val="en-US" w:eastAsia="zh-CN" w:bidi="ar-SA"/>
              </w:rPr>
              <w:t>项目的业绩，每个2分，本项最高10分。</w:t>
            </w:r>
          </w:p>
          <w:p>
            <w:pPr>
              <w:keepNext w:val="0"/>
              <w:keepLines w:val="0"/>
              <w:suppressLineNumbers w:val="0"/>
              <w:spacing w:before="0" w:beforeAutospacing="0" w:after="0" w:afterAutospacing="0"/>
              <w:ind w:left="0" w:right="0"/>
              <w:rPr>
                <w:rFonts w:hint="default" w:eastAsia="仿宋"/>
                <w:color w:val="auto"/>
                <w:sz w:val="24"/>
                <w:szCs w:val="24"/>
              </w:rPr>
            </w:pPr>
          </w:p>
        </w:tc>
        <w:tc>
          <w:tcPr>
            <w:tcW w:w="16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仿宋"/>
                <w:color w:val="auto"/>
                <w:sz w:val="24"/>
                <w:szCs w:val="24"/>
                <w:lang w:val="en-US" w:eastAsia="zh-CN"/>
              </w:rPr>
            </w:pPr>
            <w:r>
              <w:rPr>
                <w:rFonts w:hint="eastAsia" w:ascii="方正仿宋_GBK" w:hAnsi="宋体" w:eastAsia="方正仿宋_GBK" w:cs="Times New Roman"/>
                <w:color w:val="auto"/>
                <w:kern w:val="2"/>
                <w:sz w:val="21"/>
                <w:szCs w:val="21"/>
                <w:lang w:val="en-US" w:eastAsia="zh-CN" w:bidi="ar-SA"/>
              </w:rPr>
              <w:t>提供合同复印件加盖鲜章</w:t>
            </w:r>
          </w:p>
        </w:tc>
      </w:tr>
    </w:tbl>
    <w:p>
      <w:pPr>
        <w:spacing w:line="520" w:lineRule="exact"/>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spacing w:before="156" w:after="156" w:line="520" w:lineRule="exact"/>
        <w:ind w:firstLine="438" w:firstLineChars="200"/>
        <w:jc w:val="left"/>
        <w:outlineLvl w:val="1"/>
        <w:rPr>
          <w:rFonts w:eastAsia="仿宋" w:cs="宋体"/>
          <w:b/>
          <w:bCs/>
          <w:color w:val="auto"/>
          <w:szCs w:val="28"/>
          <w:highlight w:val="none"/>
        </w:rPr>
      </w:pPr>
      <w:bookmarkStart w:id="411" w:name="_Toc8076"/>
      <w:bookmarkStart w:id="412" w:name="_Toc22532"/>
      <w:bookmarkStart w:id="413" w:name="_Toc2090"/>
      <w:bookmarkStart w:id="414" w:name="_Toc32107"/>
      <w:bookmarkStart w:id="415" w:name="_Toc48837318"/>
      <w:bookmarkStart w:id="416" w:name="_Toc27554"/>
      <w:bookmarkStart w:id="417" w:name="_Toc3598"/>
      <w:bookmarkStart w:id="418" w:name="_Toc14187"/>
      <w:bookmarkStart w:id="419" w:name="_Toc65512153"/>
      <w:bookmarkStart w:id="420" w:name="_Toc2463"/>
      <w:bookmarkStart w:id="421" w:name="_Toc13857"/>
      <w:bookmarkStart w:id="422" w:name="_Toc19280"/>
      <w:bookmarkStart w:id="423" w:name="_Toc12698"/>
      <w:bookmarkStart w:id="424" w:name="_Toc5155"/>
      <w:bookmarkStart w:id="425" w:name="_Toc23685"/>
      <w:bookmarkStart w:id="426" w:name="_Toc16350"/>
      <w:bookmarkStart w:id="427" w:name="_Toc16220"/>
      <w:bookmarkStart w:id="428" w:name="_Toc30220"/>
      <w:bookmarkStart w:id="429" w:name="_Toc32306"/>
      <w:bookmarkStart w:id="430" w:name="_Toc32421"/>
      <w:bookmarkStart w:id="431" w:name="_Toc17257"/>
      <w:bookmarkStart w:id="432" w:name="_Toc731"/>
      <w:bookmarkStart w:id="433" w:name="_Toc20884"/>
      <w:bookmarkStart w:id="434" w:name="_Toc16045"/>
      <w:bookmarkStart w:id="435" w:name="_Toc521"/>
      <w:bookmarkStart w:id="436" w:name="_Toc2703"/>
      <w:bookmarkStart w:id="437" w:name="_Toc26383"/>
      <w:bookmarkStart w:id="438" w:name="_Toc3301"/>
      <w:r>
        <w:rPr>
          <w:rFonts w:hint="eastAsia" w:eastAsia="仿宋" w:cs="宋体"/>
          <w:b/>
          <w:bCs/>
          <w:color w:val="auto"/>
          <w:szCs w:val="28"/>
          <w:highlight w:val="none"/>
        </w:rPr>
        <w:t>三、无效响应</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20" w:lineRule="exact"/>
        <w:ind w:firstLine="438" w:firstLineChars="200"/>
        <w:jc w:val="left"/>
        <w:rPr>
          <w:rFonts w:ascii="方正仿宋_GBK" w:hAnsi="仿宋" w:eastAsia="仿宋" w:cs="仿宋"/>
          <w:color w:val="auto"/>
          <w:kern w:val="0"/>
          <w:szCs w:val="28"/>
          <w:highlight w:val="none"/>
        </w:rPr>
      </w:pPr>
      <w:bookmarkStart w:id="439" w:name="_Toc492721019"/>
      <w:bookmarkStart w:id="440" w:name="_Toc493506302"/>
      <w:bookmarkStart w:id="441" w:name="_Toc495592658"/>
      <w:r>
        <w:rPr>
          <w:rFonts w:hint="eastAsia" w:ascii="方正仿宋_GBK" w:hAnsi="仿宋" w:eastAsia="仿宋" w:cs="仿宋"/>
          <w:color w:val="auto"/>
          <w:kern w:val="0"/>
          <w:szCs w:val="28"/>
          <w:highlight w:val="none"/>
        </w:rPr>
        <w:t>供应商发生以下条款情况之一者，为无效响应，其响应文件将被拒绝：</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（一）供应商不符合规定的资格条件的；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（二）供应商的法定代表人（或其授权代表）或自然人未参加磋商；</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bookmarkStart w:id="442" w:name="_Hlk84856470"/>
      <w:r>
        <w:rPr>
          <w:rFonts w:hint="eastAsia" w:ascii="方正仿宋_GBK" w:hAnsi="仿宋" w:eastAsia="仿宋" w:cs="仿宋"/>
          <w:color w:val="auto"/>
          <w:kern w:val="0"/>
          <w:szCs w:val="28"/>
          <w:highlight w:val="none"/>
        </w:rPr>
        <w:t>供应商所提交的响应文件</w:t>
      </w:r>
      <w:bookmarkEnd w:id="442"/>
      <w:r>
        <w:rPr>
          <w:rFonts w:hint="eastAsia" w:ascii="方正仿宋_GBK" w:hAnsi="仿宋" w:eastAsia="仿宋" w:cs="仿宋"/>
          <w:color w:val="auto"/>
          <w:kern w:val="0"/>
          <w:szCs w:val="28"/>
          <w:highlight w:val="none"/>
        </w:rPr>
        <w:t>不按磋商文件规定签字、盖章；</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（四）供应商的报价超过最高限价的；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w:t>
      </w:r>
      <w:bookmarkStart w:id="443" w:name="_Hlk84856597"/>
      <w:r>
        <w:rPr>
          <w:rFonts w:hint="eastAsia" w:ascii="方正仿宋_GBK" w:hAnsi="仿宋" w:eastAsia="仿宋" w:cs="仿宋"/>
          <w:color w:val="auto"/>
          <w:kern w:val="0"/>
          <w:szCs w:val="28"/>
          <w:highlight w:val="none"/>
        </w:rPr>
        <w:t>单位负责人为同一人或者存在直接控股、管理关系的不同供应商，参加同一合同项下的政府采购活动的；</w:t>
      </w:r>
      <w:bookmarkEnd w:id="443"/>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（六）为采购项目提供整体设计、规范编制或者项目管理、监理、检测等服务的供应商，再参加该采购项目的其他采购活动；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（七）供应商磋商有效期不满足竞争性磋商文件要求的；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（八）供应商组成联合体响应的（磋商文件载明不接受联合体时适用）；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（九）供应商响应文件内容有与国家现行法律法规相违背的内容，或附有采购人无法接受的条件。</w:t>
      </w:r>
    </w:p>
    <w:p>
      <w:pPr>
        <w:snapToGrid w:val="0"/>
        <w:spacing w:line="400" w:lineRule="exact"/>
        <w:ind w:firstLine="465"/>
        <w:rPr>
          <w:rFonts w:ascii="方正仿宋_GBK" w:hAnsi="宋体"/>
          <w:color w:val="auto"/>
          <w:szCs w:val="24"/>
          <w:highlight w:val="none"/>
        </w:rPr>
      </w:pPr>
      <w:r>
        <w:rPr>
          <w:rFonts w:hint="eastAsia" w:ascii="方正仿宋_GBK" w:hAnsi="宋体"/>
          <w:color w:val="auto"/>
          <w:szCs w:val="24"/>
          <w:highlight w:val="none"/>
        </w:rPr>
        <w:t>（十）法律、法规和竞争性磋商文件规定的其他无效情形。</w:t>
      </w:r>
    </w:p>
    <w:p>
      <w:pPr>
        <w:spacing w:before="156" w:after="156" w:line="520" w:lineRule="exact"/>
        <w:ind w:firstLine="438" w:firstLineChars="200"/>
        <w:jc w:val="left"/>
        <w:outlineLvl w:val="1"/>
        <w:rPr>
          <w:rFonts w:eastAsia="仿宋" w:cs="宋体"/>
          <w:b/>
          <w:bCs/>
          <w:color w:val="auto"/>
          <w:szCs w:val="28"/>
          <w:highlight w:val="none"/>
        </w:rPr>
      </w:pPr>
      <w:bookmarkStart w:id="444" w:name="_Toc17719"/>
      <w:bookmarkStart w:id="445" w:name="_Toc26852"/>
      <w:bookmarkStart w:id="446" w:name="_Toc938"/>
      <w:bookmarkStart w:id="447" w:name="_Toc8728"/>
      <w:bookmarkStart w:id="448" w:name="_Toc8228"/>
      <w:bookmarkStart w:id="449" w:name="_Toc28569"/>
      <w:bookmarkStart w:id="450" w:name="_Toc28559"/>
      <w:bookmarkStart w:id="451" w:name="_Toc18935"/>
      <w:bookmarkStart w:id="452" w:name="_Toc7367"/>
      <w:bookmarkStart w:id="453" w:name="_Toc11565"/>
      <w:bookmarkStart w:id="454" w:name="_Toc15957"/>
      <w:bookmarkStart w:id="455" w:name="_Toc21144"/>
      <w:bookmarkStart w:id="456" w:name="_Toc11445"/>
      <w:bookmarkStart w:id="457" w:name="_Toc7917"/>
      <w:bookmarkStart w:id="458" w:name="_Toc65512154"/>
      <w:bookmarkStart w:id="459" w:name="_Toc26329"/>
      <w:bookmarkStart w:id="460" w:name="_Toc9753"/>
      <w:bookmarkStart w:id="461" w:name="_Toc3785"/>
      <w:bookmarkStart w:id="462" w:name="_Toc10520"/>
      <w:bookmarkStart w:id="463" w:name="_Toc16889"/>
      <w:bookmarkStart w:id="464" w:name="_Toc29713"/>
      <w:bookmarkStart w:id="465" w:name="_Toc1197"/>
      <w:bookmarkStart w:id="466" w:name="_Toc17334"/>
      <w:bookmarkStart w:id="467" w:name="_Toc11451"/>
      <w:bookmarkStart w:id="468" w:name="_Toc48837319"/>
      <w:bookmarkStart w:id="469" w:name="_Toc2147"/>
      <w:bookmarkStart w:id="470" w:name="_Toc19464"/>
      <w:bookmarkStart w:id="471" w:name="_Toc29865"/>
      <w:r>
        <w:rPr>
          <w:rFonts w:hint="eastAsia" w:eastAsia="仿宋" w:cs="宋体"/>
          <w:b/>
          <w:bCs/>
          <w:color w:val="auto"/>
          <w:szCs w:val="28"/>
          <w:highlight w:val="none"/>
        </w:rPr>
        <w:t>四、</w:t>
      </w:r>
      <w:bookmarkEnd w:id="439"/>
      <w:bookmarkEnd w:id="440"/>
      <w:bookmarkEnd w:id="441"/>
      <w:r>
        <w:rPr>
          <w:rFonts w:hint="eastAsia" w:eastAsia="仿宋" w:cs="宋体"/>
          <w:b/>
          <w:bCs/>
          <w:color w:val="auto"/>
          <w:szCs w:val="28"/>
          <w:highlight w:val="none"/>
        </w:rPr>
        <w:t>采购终止</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出现下列情形之一的，采购人或者采购代理机构应当终止竞争性磋商采购活动，发布项目终止公告并说明原因，重新开展采购活动：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（一）因情况变化，不再符合规定的竞争性磋商采购方式适用情形的；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（二）出现影响采购公正的违法、违规行为的；</w:t>
      </w:r>
    </w:p>
    <w:p>
      <w:pPr>
        <w:spacing w:line="520" w:lineRule="exact"/>
        <w:ind w:firstLine="438" w:firstLineChars="200"/>
        <w:jc w:val="left"/>
        <w:rPr>
          <w:rFonts w:ascii="方正仿宋_GBK" w:hAnsi="仿宋" w:eastAsia="仿宋" w:cs="仿宋"/>
          <w:color w:val="auto"/>
          <w:kern w:val="0"/>
          <w:szCs w:val="28"/>
          <w:highlight w:val="none"/>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r>
        <w:rPr>
          <w:rFonts w:hint="eastAsia" w:ascii="方正仿宋_GBK" w:hAnsi="仿宋" w:eastAsia="仿宋" w:cs="仿宋"/>
          <w:color w:val="auto"/>
          <w:kern w:val="0"/>
          <w:szCs w:val="28"/>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bookmarkEnd w:id="410"/>
    <w:p>
      <w:pPr>
        <w:pStyle w:val="3"/>
        <w:numPr>
          <w:ilvl w:val="0"/>
          <w:numId w:val="0"/>
        </w:numPr>
        <w:tabs>
          <w:tab w:val="clear" w:pos="3360"/>
        </w:tabs>
        <w:spacing w:before="120" w:after="120"/>
        <w:ind w:leftChars="0"/>
        <w:rPr>
          <w:color w:val="auto"/>
          <w:szCs w:val="22"/>
          <w:highlight w:val="none"/>
        </w:rPr>
      </w:pPr>
      <w:bookmarkStart w:id="472" w:name="_Toc11334"/>
      <w:bookmarkStart w:id="473" w:name="_Toc6408"/>
      <w:bookmarkStart w:id="474" w:name="_Toc7488"/>
      <w:bookmarkStart w:id="475" w:name="_Toc12249"/>
      <w:bookmarkStart w:id="476" w:name="_Toc28095"/>
      <w:bookmarkStart w:id="477" w:name="_Toc25557"/>
      <w:bookmarkStart w:id="478" w:name="_Toc30219"/>
      <w:bookmarkStart w:id="479" w:name="_Toc11270"/>
      <w:bookmarkStart w:id="480" w:name="_Toc11106"/>
      <w:bookmarkStart w:id="481" w:name="_Toc30537"/>
      <w:bookmarkStart w:id="482" w:name="_Toc3704"/>
      <w:bookmarkStart w:id="483" w:name="_Toc14826"/>
      <w:bookmarkStart w:id="484" w:name="_Toc10626"/>
      <w:bookmarkStart w:id="485" w:name="_Toc21571"/>
      <w:bookmarkStart w:id="486" w:name="_Toc17877"/>
      <w:bookmarkStart w:id="487" w:name="_Toc23757"/>
      <w:bookmarkStart w:id="488" w:name="_Toc1914"/>
      <w:bookmarkStart w:id="489" w:name="_Toc2670"/>
      <w:bookmarkStart w:id="490" w:name="_Toc27672"/>
      <w:bookmarkStart w:id="491" w:name="_Toc48837320"/>
      <w:bookmarkStart w:id="492" w:name="_Toc28113"/>
      <w:bookmarkStart w:id="493" w:name="_Toc2595"/>
      <w:bookmarkStart w:id="494" w:name="_Toc29941"/>
      <w:bookmarkStart w:id="495" w:name="_Toc26024"/>
      <w:bookmarkStart w:id="496" w:name="_Toc25684"/>
      <w:bookmarkStart w:id="497" w:name="_Toc28550"/>
      <w:bookmarkStart w:id="498" w:name="_Toc31912"/>
      <w:bookmarkStart w:id="499" w:name="_Toc19943"/>
      <w:r>
        <w:rPr>
          <w:rFonts w:hint="eastAsia"/>
          <w:color w:val="auto"/>
          <w:szCs w:val="22"/>
          <w:highlight w:val="none"/>
          <w:lang w:eastAsia="zh-CN"/>
        </w:rPr>
        <w:t>第五篇</w:t>
      </w:r>
      <w:r>
        <w:rPr>
          <w:rFonts w:hint="eastAsia"/>
          <w:color w:val="auto"/>
          <w:szCs w:val="22"/>
          <w:highlight w:val="none"/>
          <w:lang w:val="en-US" w:eastAsia="zh-CN"/>
        </w:rPr>
        <w:t xml:space="preserve"> </w:t>
      </w:r>
      <w:r>
        <w:rPr>
          <w:rFonts w:hint="eastAsia"/>
          <w:color w:val="auto"/>
          <w:szCs w:val="22"/>
          <w:highlight w:val="none"/>
        </w:rPr>
        <w:t>供应商须知</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00" w:name="_Toc4154"/>
      <w:bookmarkStart w:id="501" w:name="_Toc7838"/>
      <w:bookmarkStart w:id="502" w:name="_Toc18065"/>
      <w:bookmarkStart w:id="503" w:name="_Toc22471"/>
      <w:bookmarkStart w:id="504" w:name="_Toc27012"/>
      <w:bookmarkStart w:id="505" w:name="_Toc6949"/>
      <w:bookmarkStart w:id="506" w:name="_Toc28864"/>
      <w:bookmarkStart w:id="507" w:name="_Toc22160"/>
      <w:bookmarkStart w:id="508" w:name="_Toc8802"/>
      <w:bookmarkStart w:id="509" w:name="_Toc5449"/>
      <w:bookmarkStart w:id="510" w:name="_Toc17191"/>
      <w:bookmarkStart w:id="511" w:name="_Toc1817"/>
      <w:bookmarkStart w:id="512" w:name="_Toc11853"/>
      <w:bookmarkStart w:id="513" w:name="_Toc65512156"/>
      <w:bookmarkStart w:id="514" w:name="_Toc22525"/>
      <w:bookmarkStart w:id="515" w:name="_Toc24216"/>
      <w:bookmarkStart w:id="516" w:name="_Toc10737"/>
      <w:bookmarkStart w:id="517" w:name="_Toc1122"/>
      <w:bookmarkStart w:id="518" w:name="_Toc4340"/>
      <w:bookmarkStart w:id="519" w:name="_Toc15846"/>
      <w:bookmarkStart w:id="520" w:name="_Toc26802"/>
      <w:bookmarkStart w:id="521" w:name="_Toc6608"/>
      <w:bookmarkStart w:id="522" w:name="_Toc18984"/>
      <w:bookmarkStart w:id="523" w:name="_Toc18692"/>
      <w:bookmarkStart w:id="524" w:name="_Toc24005"/>
      <w:bookmarkStart w:id="525" w:name="_Toc7063"/>
      <w:bookmarkStart w:id="526" w:name="_Toc25930"/>
      <w:bookmarkStart w:id="527" w:name="_Toc11889"/>
      <w:bookmarkStart w:id="528" w:name="_Toc48837321"/>
      <w:bookmarkStart w:id="529" w:name="_Toc495592661"/>
      <w:r>
        <w:rPr>
          <w:rFonts w:hint="eastAsia" w:eastAsia="仿宋" w:cs="宋体"/>
          <w:b/>
          <w:bCs/>
          <w:color w:val="auto"/>
          <w:szCs w:val="28"/>
          <w:highlight w:val="none"/>
        </w:rPr>
        <w:t>一、磋商费用</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参与磋商的供应商应承担其编制响应文件与递交响应文件所涉及的一切费用，不论磋商结果如何，采购人在任何情况下无义务也无责任承担这些费用。</w:t>
      </w:r>
    </w:p>
    <w:bookmarkEnd w:id="529"/>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30" w:name="_Toc23225"/>
      <w:bookmarkStart w:id="531" w:name="_Toc15149"/>
      <w:bookmarkStart w:id="532" w:name="_Toc29110"/>
      <w:bookmarkStart w:id="533" w:name="_Toc17503"/>
      <w:bookmarkStart w:id="534" w:name="_Toc30461"/>
      <w:bookmarkStart w:id="535" w:name="_Toc6684"/>
      <w:bookmarkStart w:id="536" w:name="_Toc7965"/>
      <w:bookmarkStart w:id="537" w:name="_Toc1425"/>
      <w:bookmarkStart w:id="538" w:name="_Toc8987"/>
      <w:bookmarkStart w:id="539" w:name="_Toc13873"/>
      <w:bookmarkStart w:id="540" w:name="_Toc27928"/>
      <w:bookmarkStart w:id="541" w:name="_Toc2882"/>
      <w:bookmarkStart w:id="542" w:name="_Toc22862"/>
      <w:bookmarkStart w:id="543" w:name="_Toc32292"/>
      <w:bookmarkStart w:id="544" w:name="_Toc65512157"/>
      <w:bookmarkStart w:id="545" w:name="_Toc466546926"/>
      <w:bookmarkStart w:id="546" w:name="_Toc26700"/>
      <w:bookmarkStart w:id="547" w:name="_Toc15823"/>
      <w:bookmarkStart w:id="548" w:name="_Toc18712"/>
      <w:bookmarkStart w:id="549" w:name="_Toc17888"/>
      <w:bookmarkStart w:id="550" w:name="_Toc5175"/>
      <w:bookmarkStart w:id="551" w:name="_Toc3940"/>
      <w:bookmarkStart w:id="552" w:name="_Toc31824"/>
      <w:bookmarkStart w:id="553" w:name="_Toc6050"/>
      <w:bookmarkStart w:id="554" w:name="_Toc24459"/>
      <w:bookmarkStart w:id="555" w:name="_Toc11594"/>
      <w:bookmarkStart w:id="556" w:name="_Toc26385"/>
      <w:bookmarkStart w:id="557" w:name="_Toc24056"/>
      <w:bookmarkStart w:id="558" w:name="_Toc28248"/>
      <w:bookmarkStart w:id="559" w:name="_Toc6793"/>
      <w:bookmarkStart w:id="560" w:name="_Toc48837322"/>
      <w:bookmarkStart w:id="561" w:name="_Toc495592662"/>
      <w:r>
        <w:rPr>
          <w:rFonts w:hint="eastAsia" w:eastAsia="仿宋" w:cs="宋体"/>
          <w:b/>
          <w:bCs/>
          <w:color w:val="auto"/>
          <w:szCs w:val="28"/>
          <w:highlight w:val="none"/>
        </w:rPr>
        <w:t>二、竞争性磋商文件</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（一）竞争性磋商文件由采购邀请书，采购服务（技术）需求，采购商务需求，磋商程序及方法、评审标准、无效响应和采购终止，供应商须知，响应文件编制要求等七部分组成。</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（二）采购人所作的一切有效的书面通知、修改及补充，都是竞争性磋商文件不可分割的部分。</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三</w:t>
      </w:r>
      <w:r>
        <w:rPr>
          <w:rFonts w:hint="eastAsia" w:ascii="方正仿宋_GBK" w:hAnsi="仿宋" w:eastAsia="仿宋" w:cs="仿宋"/>
          <w:color w:val="auto"/>
          <w:kern w:val="0"/>
          <w:szCs w:val="28"/>
          <w:highlight w:val="none"/>
        </w:rPr>
        <w:t>）本竞争性磋商文件中，磋商小组根据与供应商进行磋商可能实质性变动的内容为竞争性磋商文件第二、三篇全部内容。</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）评审的依据为竞争性磋商文件和响应文件（含有效的书面承诺）。磋商小组判断响应文件对竞争性磋商文件的响应，仅基于响应文件本身而不靠外部证据。</w:t>
      </w:r>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562" w:name="_Toc18397"/>
      <w:bookmarkStart w:id="563" w:name="_Toc19275"/>
      <w:bookmarkStart w:id="564" w:name="_Toc18120"/>
      <w:bookmarkStart w:id="565" w:name="_Toc26135"/>
      <w:bookmarkStart w:id="566" w:name="_Toc4956"/>
      <w:bookmarkStart w:id="567" w:name="_Toc21645"/>
      <w:bookmarkStart w:id="568" w:name="_Toc1990"/>
      <w:bookmarkStart w:id="569" w:name="_Toc24716"/>
      <w:bookmarkStart w:id="570" w:name="_Toc27538"/>
      <w:bookmarkStart w:id="571" w:name="_Toc14092"/>
      <w:bookmarkStart w:id="572" w:name="_Toc23284"/>
      <w:bookmarkStart w:id="573" w:name="_Toc14931"/>
      <w:bookmarkStart w:id="574" w:name="_Toc12571"/>
      <w:bookmarkStart w:id="575" w:name="_Toc4761"/>
      <w:bookmarkStart w:id="576" w:name="_Toc2271"/>
      <w:bookmarkStart w:id="577" w:name="_Toc48837323"/>
      <w:bookmarkStart w:id="578" w:name="_Toc144"/>
      <w:bookmarkStart w:id="579" w:name="_Toc1475"/>
      <w:bookmarkStart w:id="580" w:name="_Toc3092"/>
      <w:bookmarkStart w:id="581" w:name="_Toc24924"/>
      <w:bookmarkStart w:id="582" w:name="_Toc6181"/>
      <w:bookmarkStart w:id="583" w:name="_Toc65512158"/>
      <w:bookmarkStart w:id="584" w:name="_Toc16031"/>
      <w:bookmarkStart w:id="585" w:name="_Toc7846"/>
      <w:bookmarkStart w:id="586" w:name="_Toc12088"/>
      <w:bookmarkStart w:id="587" w:name="_Toc24110"/>
      <w:bookmarkStart w:id="588" w:name="_Toc13318"/>
      <w:bookmarkStart w:id="589" w:name="_Toc755"/>
      <w:r>
        <w:rPr>
          <w:rFonts w:hint="eastAsia" w:eastAsia="仿宋" w:cs="宋体"/>
          <w:b/>
          <w:bCs/>
          <w:color w:val="auto"/>
          <w:szCs w:val="28"/>
          <w:highlight w:val="none"/>
        </w:rPr>
        <w:t>三、</w:t>
      </w:r>
      <w:bookmarkEnd w:id="561"/>
      <w:r>
        <w:rPr>
          <w:rFonts w:hint="eastAsia" w:eastAsia="仿宋" w:cs="宋体"/>
          <w:b/>
          <w:bCs/>
          <w:color w:val="auto"/>
          <w:szCs w:val="28"/>
          <w:highlight w:val="none"/>
        </w:rPr>
        <w:t>磋商要求</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（一）响应文件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1.供应商应当按照竞争性磋商文件的要求编制响应文件，并对竞争性磋商文件提出的要求和条件作出实质性响应，响应文件原则上采用软面订本，同时应编制完整的页码、目录。</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2.响应文件组成</w:t>
      </w:r>
    </w:p>
    <w:p>
      <w:pPr>
        <w:spacing w:line="520" w:lineRule="exact"/>
        <w:ind w:firstLine="480" w:firstLineChars="200"/>
        <w:jc w:val="left"/>
        <w:rPr>
          <w:rFonts w:ascii="宋体" w:hAnsi="宋体" w:eastAsia="仿宋" w:cs="宋体"/>
          <w:color w:val="auto"/>
          <w:highlight w:val="none"/>
        </w:rPr>
      </w:pPr>
      <w:r>
        <w:rPr>
          <w:rFonts w:hint="eastAsia" w:ascii="方正仿宋_GBK" w:hAnsi="仿宋" w:eastAsia="仿宋" w:cs="仿宋"/>
          <w:color w:val="auto"/>
          <w:kern w:val="0"/>
          <w:szCs w:val="28"/>
          <w:highlight w:val="none"/>
        </w:rPr>
        <w:t>响应文件由第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篇“响应文件编制要求”规定的部分和供应商所作的一切有效补充、修改和承诺等文件组成，供应商应按照第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篇“响应文件编制要求”规定的目录顺序组织编写和装订，也可在基本格式基础上对表格进行扩展，未规定格式的由供应商自定格式。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（二）联合体</w:t>
      </w:r>
    </w:p>
    <w:p>
      <w:pPr>
        <w:spacing w:line="520" w:lineRule="exact"/>
        <w:ind w:firstLine="480" w:firstLineChars="200"/>
        <w:jc w:val="left"/>
        <w:rPr>
          <w:rFonts w:hint="eastAsia" w:eastAsia="方正仿宋_GBK"/>
          <w:color w:val="auto"/>
          <w:highlight w:val="none"/>
          <w:lang w:eastAsia="zh-CN"/>
        </w:rPr>
      </w:pPr>
      <w:bookmarkStart w:id="590" w:name="_Hlk84853302"/>
      <w:r>
        <w:rPr>
          <w:rFonts w:hint="eastAsia"/>
          <w:color w:val="auto"/>
          <w:highlight w:val="none"/>
          <w:lang w:eastAsia="zh-CN"/>
        </w:rPr>
        <w:t>本项目不接受联合体投标</w:t>
      </w:r>
    </w:p>
    <w:bookmarkEnd w:id="590"/>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（三）磋商有效期：响应文件及有关承诺文件有效期为提交响应文件截止时间起90天。</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（四）修正错误</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1.若供应商所递交的响应文件或最后报价中的价格出现大写金额和小写金额不一致的错误，以大写金额修正为准。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磋商小组按上述修正错误的原则及方法修正供应商的报价，修正的方式为供应商作出书面澄清、说明或者补正，并加盖公章，或者由法定代表人（或其授权代表）或自然人（供应商为自然人）签字。供应商的澄清、说明或者补正不得超出响应文件的范围或者改变响应文件的实质性内容。</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调整后的报价对供应商具有约束作用，如果同意书不接受修正后的报价，则其响应文件将作为无效处理。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（五）提交响应文件的份数和签署</w:t>
      </w:r>
    </w:p>
    <w:p>
      <w:pPr>
        <w:spacing w:line="520" w:lineRule="exact"/>
        <w:ind w:firstLine="480" w:firstLineChars="200"/>
        <w:jc w:val="left"/>
        <w:rPr>
          <w:rFonts w:ascii="方正仿宋_GBK" w:hAnsi="仿宋" w:eastAsia="仿宋" w:cs="仿宋"/>
          <w:b w:val="0"/>
          <w:bCs w:val="0"/>
          <w:color w:val="auto"/>
          <w:kern w:val="0"/>
          <w:szCs w:val="28"/>
          <w:highlight w:val="none"/>
          <w:u w:val="none"/>
        </w:rPr>
      </w:pPr>
      <w:bookmarkStart w:id="591" w:name="_Hlk84855761"/>
      <w:r>
        <w:rPr>
          <w:rFonts w:hint="eastAsia" w:ascii="方正仿宋_GBK" w:hAnsi="仿宋" w:eastAsia="仿宋" w:cs="仿宋"/>
          <w:b w:val="0"/>
          <w:bCs w:val="0"/>
          <w:color w:val="auto"/>
          <w:kern w:val="0"/>
          <w:szCs w:val="28"/>
          <w:highlight w:val="none"/>
          <w:u w:val="none"/>
        </w:rPr>
        <w:t>1.响应文件一式三份，其中正本一份，副本一份，副本可为正本的复印件，应与正本一致，如出现不一致情况以正本为准。</w:t>
      </w:r>
      <w:bookmarkEnd w:id="591"/>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2.在响应文件正本中，竞争性磋商文件第</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篇“响应文件编制要求”中规定签字、盖章的地方必须按其规定签字、盖章。</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w:t>
      </w:r>
      <w:bookmarkStart w:id="592" w:name="_Hlk84855887"/>
      <w:r>
        <w:rPr>
          <w:rFonts w:hint="eastAsia" w:ascii="方正仿宋_GBK" w:hAnsi="仿宋" w:eastAsia="仿宋" w:cs="仿宋"/>
          <w:color w:val="auto"/>
          <w:kern w:val="0"/>
          <w:szCs w:val="28"/>
          <w:highlight w:val="none"/>
        </w:rPr>
        <w:t>响应文件的递交</w:t>
      </w:r>
    </w:p>
    <w:p>
      <w:pPr>
        <w:spacing w:line="520" w:lineRule="exact"/>
        <w:ind w:firstLine="480" w:firstLineChars="200"/>
        <w:jc w:val="left"/>
        <w:rPr>
          <w:rFonts w:ascii="方正仿宋_GBK" w:hAnsi="仿宋" w:eastAsia="仿宋" w:cs="仿宋"/>
          <w:color w:val="auto"/>
          <w:kern w:val="0"/>
          <w:szCs w:val="28"/>
          <w:highlight w:val="none"/>
        </w:rPr>
      </w:pPr>
      <w:bookmarkStart w:id="593" w:name="_Toc5414"/>
      <w:bookmarkStart w:id="594" w:name="_Toc466546928"/>
      <w:bookmarkStart w:id="595" w:name="_Toc5765"/>
      <w:r>
        <w:rPr>
          <w:rFonts w:hint="eastAsia" w:ascii="方正仿宋_GBK" w:hAnsi="仿宋" w:eastAsia="仿宋" w:cs="仿宋"/>
          <w:color w:val="auto"/>
          <w:kern w:val="0"/>
          <w:szCs w:val="28"/>
          <w:highlight w:val="none"/>
        </w:rPr>
        <w:t>响应文件的正本、副本均应密封送达磋商地点，应在封套上注明磋商项目名称、供应商名称。若正本、副本以及电子文档分别进行密封的，还应在封套上注明“正本”、“副本”字样。</w:t>
      </w:r>
      <w:bookmarkEnd w:id="592"/>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（七）响应文件语言：简体中文</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（八）供应商参与人员</w:t>
      </w:r>
    </w:p>
    <w:p>
      <w:pPr>
        <w:spacing w:line="520" w:lineRule="exact"/>
        <w:ind w:firstLine="480" w:firstLineChars="200"/>
        <w:jc w:val="left"/>
        <w:rPr>
          <w:color w:val="auto"/>
          <w:highlight w:val="none"/>
        </w:rPr>
      </w:pPr>
      <w:r>
        <w:rPr>
          <w:rFonts w:hint="eastAsia" w:ascii="方正仿宋_GBK" w:hAnsi="仿宋" w:eastAsia="仿宋" w:cs="仿宋"/>
          <w:color w:val="auto"/>
          <w:kern w:val="0"/>
          <w:szCs w:val="28"/>
          <w:highlight w:val="none"/>
        </w:rPr>
        <w:t>各个供应商应当派1-2名代表参与磋商，至少1人应为法定代表人（或其授权代表）或自然人（供应商为自然人）。</w:t>
      </w:r>
      <w:bookmarkEnd w:id="593"/>
      <w:bookmarkEnd w:id="594"/>
      <w:bookmarkEnd w:id="595"/>
      <w:bookmarkStart w:id="596" w:name="_Toc9838"/>
      <w:bookmarkStart w:id="597" w:name="_Toc16450"/>
      <w:bookmarkStart w:id="598" w:name="_Toc16539"/>
      <w:bookmarkStart w:id="599" w:name="_Toc28797"/>
      <w:bookmarkStart w:id="600" w:name="_Toc25570"/>
      <w:bookmarkStart w:id="601" w:name="_Toc14938"/>
      <w:bookmarkStart w:id="602" w:name="_Toc10869"/>
      <w:bookmarkStart w:id="603" w:name="_Toc59"/>
      <w:bookmarkStart w:id="604" w:name="_Toc13622"/>
      <w:bookmarkStart w:id="605" w:name="_Toc6889"/>
      <w:bookmarkStart w:id="606" w:name="_Toc1299"/>
      <w:bookmarkStart w:id="607" w:name="_Toc3826"/>
      <w:bookmarkStart w:id="608" w:name="_Toc20683"/>
      <w:bookmarkStart w:id="609" w:name="_Toc2040"/>
      <w:bookmarkStart w:id="610" w:name="_Toc65512160"/>
      <w:bookmarkStart w:id="611" w:name="_Toc102227321"/>
      <w:bookmarkStart w:id="612" w:name="_Toc5692"/>
      <w:bookmarkStart w:id="613" w:name="_Toc3121"/>
      <w:bookmarkStart w:id="614" w:name="_Toc8011"/>
      <w:bookmarkStart w:id="615" w:name="_Toc31319"/>
      <w:bookmarkStart w:id="616" w:name="_Toc1926"/>
      <w:bookmarkStart w:id="617" w:name="_Toc342913395"/>
      <w:bookmarkStart w:id="618" w:name="_Toc48837325"/>
      <w:bookmarkStart w:id="619" w:name="_Toc23363"/>
      <w:bookmarkStart w:id="620" w:name="_Toc9630"/>
      <w:bookmarkStart w:id="621" w:name="_Toc20781"/>
      <w:bookmarkStart w:id="622" w:name="_Toc28017"/>
      <w:bookmarkStart w:id="623" w:name="_Toc466546929"/>
      <w:bookmarkStart w:id="624" w:name="_Toc15745"/>
    </w:p>
    <w:p>
      <w:pPr>
        <w:spacing w:before="156" w:after="156" w:line="520" w:lineRule="exact"/>
        <w:ind w:firstLine="482" w:firstLineChars="200"/>
        <w:jc w:val="left"/>
        <w:outlineLvl w:val="1"/>
        <w:rPr>
          <w:rFonts w:eastAsia="仿宋" w:cs="宋体"/>
          <w:b/>
          <w:bCs/>
          <w:color w:val="auto"/>
          <w:szCs w:val="28"/>
          <w:highlight w:val="none"/>
        </w:rPr>
      </w:pPr>
      <w:bookmarkStart w:id="625" w:name="_Toc28491"/>
      <w:bookmarkStart w:id="626" w:name="_Toc5742"/>
      <w:bookmarkStart w:id="627" w:name="_Toc5593"/>
      <w:bookmarkStart w:id="628" w:name="_Toc21247"/>
      <w:r>
        <w:rPr>
          <w:rFonts w:hint="eastAsia" w:eastAsia="仿宋" w:cs="宋体"/>
          <w:b/>
          <w:bCs/>
          <w:color w:val="auto"/>
          <w:szCs w:val="28"/>
          <w:highlight w:val="none"/>
          <w:lang w:eastAsia="zh-CN"/>
        </w:rPr>
        <w:t>四</w:t>
      </w:r>
      <w:r>
        <w:rPr>
          <w:rFonts w:hint="eastAsia" w:eastAsia="仿宋" w:cs="宋体"/>
          <w:b/>
          <w:bCs/>
          <w:color w:val="auto"/>
          <w:szCs w:val="28"/>
          <w:highlight w:val="none"/>
        </w:rPr>
        <w:t>、成交通知</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（一）成交供应商确定后，采购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将在重庆</w:t>
      </w:r>
      <w:r>
        <w:rPr>
          <w:rFonts w:hint="eastAsia" w:ascii="方正仿宋_GBK" w:hAnsi="仿宋" w:eastAsia="仿宋" w:cs="仿宋"/>
          <w:color w:val="auto"/>
          <w:kern w:val="0"/>
          <w:szCs w:val="28"/>
          <w:highlight w:val="none"/>
          <w:lang w:eastAsia="zh-CN"/>
        </w:rPr>
        <w:t>巴南区第二人民医院官网</w:t>
      </w:r>
      <w:r>
        <w:rPr>
          <w:rFonts w:hint="eastAsia" w:ascii="方正仿宋_GBK" w:hAnsi="仿宋" w:eastAsia="仿宋" w:cs="仿宋"/>
          <w:color w:val="auto"/>
          <w:kern w:val="0"/>
          <w:szCs w:val="28"/>
          <w:highlight w:val="none"/>
        </w:rPr>
        <w:t>上发布成交结果公告。</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（二）结果公告发出同时，采购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将以书面形式发出《成交通知书》。《成交通知书》一经发出即发生法律效力。</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（三）《成交通知书》将作为签订合同的依据。</w:t>
      </w:r>
    </w:p>
    <w:p>
      <w:pPr>
        <w:spacing w:before="156" w:after="156" w:line="520" w:lineRule="exact"/>
        <w:ind w:firstLine="482" w:firstLineChars="200"/>
        <w:jc w:val="left"/>
        <w:outlineLvl w:val="1"/>
        <w:rPr>
          <w:rFonts w:eastAsia="仿宋" w:cs="宋体"/>
          <w:b/>
          <w:bCs/>
          <w:color w:val="auto"/>
          <w:szCs w:val="28"/>
          <w:highlight w:val="none"/>
        </w:rPr>
      </w:pPr>
      <w:bookmarkStart w:id="629" w:name="_Toc22277"/>
      <w:bookmarkStart w:id="630" w:name="_Toc10976"/>
      <w:bookmarkStart w:id="631" w:name="_Toc2902"/>
      <w:bookmarkStart w:id="632" w:name="_Toc24231"/>
      <w:bookmarkStart w:id="633" w:name="_Toc6151"/>
      <w:bookmarkStart w:id="634" w:name="_Toc22988"/>
      <w:bookmarkStart w:id="635" w:name="_Toc21650"/>
      <w:bookmarkStart w:id="636" w:name="_Toc12983"/>
      <w:bookmarkStart w:id="637" w:name="_Toc30247"/>
      <w:bookmarkStart w:id="638" w:name="_Toc27598"/>
      <w:bookmarkStart w:id="639" w:name="_Toc25914"/>
      <w:bookmarkStart w:id="640" w:name="_Toc5467"/>
      <w:bookmarkStart w:id="641" w:name="_Toc27976"/>
      <w:bookmarkStart w:id="642" w:name="_Toc22985"/>
      <w:bookmarkStart w:id="643" w:name="_Toc5312"/>
      <w:bookmarkStart w:id="644" w:name="_Toc16883"/>
      <w:bookmarkStart w:id="645" w:name="_Toc1541"/>
      <w:bookmarkStart w:id="646" w:name="_Toc48837326"/>
      <w:bookmarkStart w:id="647" w:name="_Toc20298"/>
      <w:bookmarkStart w:id="648" w:name="_Toc32388"/>
      <w:bookmarkStart w:id="649" w:name="_Toc11606"/>
      <w:bookmarkStart w:id="650" w:name="_Toc20152"/>
      <w:bookmarkStart w:id="651" w:name="_Toc14430"/>
      <w:bookmarkStart w:id="652" w:name="_Toc11317"/>
      <w:bookmarkStart w:id="653" w:name="_Toc19735"/>
      <w:bookmarkStart w:id="654" w:name="_Toc65512161"/>
      <w:bookmarkStart w:id="655" w:name="_Toc6746"/>
      <w:bookmarkStart w:id="656" w:name="_Toc23002"/>
      <w:bookmarkStart w:id="657" w:name="_Toc13169"/>
      <w:bookmarkStart w:id="658" w:name="_Toc466546930"/>
      <w:r>
        <w:rPr>
          <w:rFonts w:hint="eastAsia" w:eastAsia="仿宋" w:cs="宋体"/>
          <w:b/>
          <w:bCs/>
          <w:color w:val="auto"/>
          <w:szCs w:val="28"/>
          <w:highlight w:val="none"/>
          <w:lang w:eastAsia="zh-CN"/>
        </w:rPr>
        <w:t>五</w:t>
      </w:r>
      <w:r>
        <w:rPr>
          <w:rFonts w:hint="eastAsia" w:eastAsia="仿宋" w:cs="宋体"/>
          <w:b/>
          <w:bCs/>
          <w:color w:val="auto"/>
          <w:szCs w:val="28"/>
          <w:highlight w:val="none"/>
        </w:rPr>
        <w:t>、</w:t>
      </w:r>
      <w:bookmarkStart w:id="659" w:name="_Hlk84942436"/>
      <w:r>
        <w:rPr>
          <w:rFonts w:hint="eastAsia" w:eastAsia="仿宋" w:cs="宋体"/>
          <w:b/>
          <w:bCs/>
          <w:color w:val="auto"/>
          <w:szCs w:val="28"/>
          <w:highlight w:val="none"/>
        </w:rPr>
        <w:t>成交供应商的变更</w:t>
      </w:r>
      <w:bookmarkEnd w:id="629"/>
      <w:bookmarkEnd w:id="630"/>
      <w:bookmarkEnd w:id="631"/>
      <w:bookmarkEnd w:id="632"/>
      <w:bookmarkEnd w:id="659"/>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除不可抗力等因素外，成交通知书发出后，采购人改变成交结果，或者成交供应商拒绝签订采购合同的，应当承担相应的法律责任。</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成交供应商拒绝签订采购合同的，采购人可以按照《政府采购竞争性磋商采购方式管理暂行办法》第三十三条、第二十八条第二款规定的原则确定其他供应商作为成交供应商并签订政府采购合同，也可以重新开展采购活动。拒绝签订政府采购合同的成交供应商不得参加对该项目重新开展的采购活动。</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spacing w:before="156" w:after="156" w:line="520" w:lineRule="exact"/>
        <w:ind w:firstLine="482" w:firstLineChars="200"/>
        <w:jc w:val="left"/>
        <w:outlineLvl w:val="1"/>
        <w:rPr>
          <w:rFonts w:eastAsia="仿宋" w:cs="宋体"/>
          <w:b/>
          <w:bCs/>
          <w:color w:val="auto"/>
          <w:szCs w:val="28"/>
          <w:highlight w:val="none"/>
        </w:rPr>
      </w:pPr>
      <w:bookmarkStart w:id="660" w:name="_Toc102227322"/>
      <w:bookmarkStart w:id="661" w:name="_Toc8030"/>
      <w:bookmarkStart w:id="662" w:name="_Toc29969"/>
      <w:bookmarkStart w:id="663" w:name="_Toc23596"/>
      <w:bookmarkStart w:id="664" w:name="_Toc28166"/>
      <w:bookmarkStart w:id="665" w:name="_Toc10380"/>
      <w:bookmarkStart w:id="666" w:name="_Toc466546933"/>
      <w:bookmarkStart w:id="667" w:name="_Toc25013"/>
      <w:bookmarkStart w:id="668" w:name="_Toc3190"/>
      <w:bookmarkStart w:id="669" w:name="_Toc1366"/>
      <w:bookmarkStart w:id="670" w:name="_Toc24988"/>
      <w:bookmarkStart w:id="671" w:name="_Toc26233"/>
      <w:bookmarkStart w:id="672" w:name="_Toc13271"/>
      <w:bookmarkStart w:id="673" w:name="_Toc4110"/>
      <w:bookmarkStart w:id="674" w:name="_Toc30962"/>
      <w:bookmarkStart w:id="675" w:name="_Toc1858"/>
      <w:bookmarkStart w:id="676" w:name="_Toc15949"/>
      <w:bookmarkStart w:id="677" w:name="_Toc342913396"/>
      <w:bookmarkStart w:id="678" w:name="_Toc22688"/>
      <w:bookmarkStart w:id="679" w:name="_Toc11926"/>
      <w:bookmarkStart w:id="680" w:name="_Toc30709"/>
      <w:bookmarkStart w:id="681" w:name="_Toc9101"/>
      <w:bookmarkStart w:id="682" w:name="_Toc65512162"/>
      <w:bookmarkStart w:id="683" w:name="_Toc9871"/>
      <w:bookmarkStart w:id="684" w:name="_Toc12792"/>
      <w:bookmarkStart w:id="685" w:name="_Toc6511"/>
      <w:bookmarkStart w:id="686" w:name="_Toc26939"/>
      <w:bookmarkStart w:id="687" w:name="_Toc25749"/>
      <w:bookmarkStart w:id="688" w:name="_Toc10058"/>
      <w:bookmarkStart w:id="689" w:name="_Toc2535"/>
      <w:bookmarkStart w:id="690" w:name="_Toc48837327"/>
      <w:bookmarkStart w:id="691" w:name="_Toc30977"/>
      <w:bookmarkStart w:id="692" w:name="_Toc22387"/>
      <w:r>
        <w:rPr>
          <w:rFonts w:hint="eastAsia" w:eastAsia="仿宋" w:cs="宋体"/>
          <w:b/>
          <w:bCs/>
          <w:color w:val="auto"/>
          <w:szCs w:val="28"/>
          <w:highlight w:val="none"/>
          <w:lang w:eastAsia="zh-CN"/>
        </w:rPr>
        <w:t>六</w:t>
      </w:r>
      <w:r>
        <w:rPr>
          <w:rFonts w:hint="eastAsia" w:eastAsia="仿宋" w:cs="宋体"/>
          <w:b/>
          <w:bCs/>
          <w:color w:val="auto"/>
          <w:szCs w:val="28"/>
          <w:highlight w:val="none"/>
        </w:rPr>
        <w:t>、签订</w:t>
      </w:r>
      <w:bookmarkEnd w:id="660"/>
      <w:r>
        <w:rPr>
          <w:rFonts w:hint="eastAsia" w:eastAsia="仿宋" w:cs="宋体"/>
          <w:b/>
          <w:bCs/>
          <w:color w:val="auto"/>
          <w:szCs w:val="28"/>
          <w:highlight w:val="none"/>
        </w:rPr>
        <w:t>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（一）采购人原则上自成交通知书发出之日起1</w:t>
      </w:r>
      <w:r>
        <w:rPr>
          <w:rFonts w:ascii="方正仿宋_GBK" w:hAnsi="仿宋" w:eastAsia="仿宋" w:cs="仿宋"/>
          <w:color w:val="auto"/>
          <w:kern w:val="0"/>
          <w:szCs w:val="28"/>
          <w:highlight w:val="none"/>
        </w:rPr>
        <w:t>0</w:t>
      </w:r>
      <w:r>
        <w:rPr>
          <w:rFonts w:hint="eastAsia" w:ascii="方正仿宋_GBK" w:hAnsi="仿宋" w:eastAsia="仿宋" w:cs="仿宋"/>
          <w:color w:val="auto"/>
          <w:kern w:val="0"/>
          <w:szCs w:val="28"/>
          <w:highlight w:val="none"/>
        </w:rPr>
        <w:t>日内，按照竞争性磋商文件和成交供应商响应文件的约定，与成交供应商签订书面合同。所签订的合同不得对竞争性磋商文件和供应商的响应文件作实质性修改。其他未尽事宜由采购人和成交人在采购合同中详细约定。成交供应商逾期或拒绝或不按成交状态签订合同的，按政府采购法的有关规定进行严肃处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二</w:t>
      </w:r>
      <w:r>
        <w:rPr>
          <w:rFonts w:hint="eastAsia" w:ascii="方正仿宋_GBK" w:hAnsi="仿宋" w:eastAsia="仿宋" w:cs="仿宋"/>
          <w:color w:val="auto"/>
          <w:kern w:val="0"/>
          <w:szCs w:val="28"/>
          <w:highlight w:val="none"/>
        </w:rPr>
        <w:t>）竞争性磋商文件、供应商的响应文件及澄清文件等，均为签订采购合同的依据。</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三</w:t>
      </w:r>
      <w:r>
        <w:rPr>
          <w:rFonts w:hint="eastAsia" w:ascii="方正仿宋_GBK" w:hAnsi="仿宋" w:eastAsia="仿宋" w:cs="仿宋"/>
          <w:color w:val="auto"/>
          <w:kern w:val="0"/>
          <w:szCs w:val="28"/>
          <w:highlight w:val="none"/>
        </w:rPr>
        <w:t xml:space="preserve">）合同生效条款由供需双方约定，法律、行政法规规定应当办理批准、登记等手续后生效的合同，依照其规定。 </w:t>
      </w:r>
    </w:p>
    <w:p>
      <w:pPr>
        <w:spacing w:line="520" w:lineRule="exact"/>
        <w:ind w:firstLine="480" w:firstLineChars="200"/>
        <w:jc w:val="left"/>
        <w:rPr>
          <w:rFonts w:ascii="方正仿宋_GBK" w:hAnsi="仿宋" w:eastAsia="仿宋" w:cs="仿宋"/>
          <w:color w:val="auto"/>
          <w:kern w:val="0"/>
          <w:szCs w:val="28"/>
          <w:highlight w:val="none"/>
        </w:rPr>
      </w:pPr>
      <w:bookmarkStart w:id="693" w:name="_Toc14780"/>
      <w:bookmarkStart w:id="694" w:name="_Toc10523"/>
      <w:bookmarkStart w:id="695" w:name="_Toc23923"/>
      <w:bookmarkStart w:id="696" w:name="_Toc466546934"/>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）采购人要求成交供应商提供履约保证金的，应当在磋商文件中予以约定。成交供应商履约完毕后，采购人应按磋商文件及合同的约定无息退还其履约保证金。</w:t>
      </w:r>
    </w:p>
    <w:bookmarkEnd w:id="693"/>
    <w:bookmarkEnd w:id="694"/>
    <w:bookmarkEnd w:id="695"/>
    <w:bookmarkEnd w:id="696"/>
    <w:p>
      <w:pPr>
        <w:spacing w:line="520" w:lineRule="exact"/>
        <w:ind w:firstLine="480" w:firstLineChars="200"/>
        <w:jc w:val="left"/>
        <w:rPr>
          <w:rFonts w:ascii="方正仿宋_GBK" w:hAnsi="仿宋" w:eastAsia="仿宋" w:cs="仿宋"/>
          <w:color w:val="auto"/>
          <w:kern w:val="0"/>
          <w:szCs w:val="28"/>
          <w:highlight w:val="none"/>
        </w:rPr>
      </w:pPr>
    </w:p>
    <w:p>
      <w:pPr>
        <w:pStyle w:val="2"/>
        <w:numPr>
          <w:ilvl w:val="0"/>
          <w:numId w:val="0"/>
        </w:numPr>
        <w:spacing w:beforeLines="50" w:afterLines="50"/>
        <w:ind w:leftChars="0"/>
        <w:jc w:val="center"/>
        <w:outlineLvl w:val="0"/>
        <w:rPr>
          <w:rFonts w:eastAsia="方正小标宋简体"/>
          <w:color w:val="auto"/>
          <w:sz w:val="44"/>
          <w:szCs w:val="22"/>
          <w:highlight w:val="none"/>
        </w:rPr>
      </w:pPr>
      <w:bookmarkStart w:id="697" w:name="_Toc32194"/>
      <w:bookmarkStart w:id="698" w:name="_Toc349562392"/>
      <w:bookmarkStart w:id="699" w:name="_Toc384905081"/>
      <w:bookmarkStart w:id="700" w:name="_Toc384905319"/>
      <w:bookmarkStart w:id="701" w:name="_Toc409189639"/>
      <w:bookmarkStart w:id="702" w:name="_Toc384905082"/>
      <w:r>
        <w:rPr>
          <w:rFonts w:hint="eastAsia"/>
          <w:color w:val="auto"/>
          <w:highlight w:val="none"/>
        </w:rPr>
        <w:br w:type="page"/>
      </w:r>
      <w:bookmarkEnd w:id="697"/>
      <w:bookmarkEnd w:id="698"/>
      <w:bookmarkEnd w:id="699"/>
      <w:bookmarkEnd w:id="700"/>
      <w:bookmarkEnd w:id="701"/>
      <w:bookmarkEnd w:id="702"/>
      <w:bookmarkStart w:id="703" w:name="_Toc48837332"/>
      <w:bookmarkStart w:id="704" w:name="_Toc31518"/>
      <w:bookmarkStart w:id="705" w:name="_Toc10604"/>
      <w:bookmarkStart w:id="706" w:name="_Toc15701"/>
      <w:bookmarkStart w:id="707" w:name="_Toc1222"/>
      <w:bookmarkStart w:id="708" w:name="_Toc16475"/>
      <w:bookmarkStart w:id="709" w:name="_Toc62"/>
      <w:bookmarkStart w:id="710" w:name="_Toc27745"/>
      <w:bookmarkStart w:id="711" w:name="_Toc1397"/>
      <w:bookmarkStart w:id="712" w:name="_Toc2784"/>
      <w:bookmarkStart w:id="713" w:name="_Toc18341"/>
      <w:bookmarkStart w:id="714" w:name="_Toc6389"/>
      <w:bookmarkStart w:id="715" w:name="_Toc1418"/>
      <w:bookmarkStart w:id="716" w:name="_Toc14671"/>
      <w:bookmarkStart w:id="717" w:name="_Toc22502"/>
      <w:bookmarkStart w:id="718" w:name="_Toc14959"/>
      <w:bookmarkStart w:id="719" w:name="_Toc21704"/>
      <w:bookmarkStart w:id="720" w:name="_Toc29176"/>
      <w:bookmarkStart w:id="721" w:name="_Toc12406"/>
      <w:bookmarkStart w:id="722" w:name="_Toc10685"/>
      <w:bookmarkStart w:id="723" w:name="_Toc7981"/>
      <w:bookmarkStart w:id="724" w:name="_Toc24340"/>
      <w:bookmarkStart w:id="725" w:name="_Toc11597"/>
      <w:bookmarkStart w:id="726" w:name="_Toc3297"/>
      <w:bookmarkStart w:id="727" w:name="_Toc11222"/>
      <w:bookmarkStart w:id="728" w:name="_Toc9038"/>
      <w:bookmarkStart w:id="729" w:name="_Toc26489"/>
      <w:r>
        <w:rPr>
          <w:rFonts w:hint="eastAsia" w:eastAsia="方正小标宋简体"/>
          <w:color w:val="auto"/>
          <w:sz w:val="44"/>
          <w:szCs w:val="22"/>
          <w:highlight w:val="none"/>
          <w:lang w:eastAsia="zh-CN"/>
        </w:rPr>
        <w:t>第六篇</w:t>
      </w:r>
      <w:r>
        <w:rPr>
          <w:rFonts w:hint="eastAsia" w:eastAsia="方正小标宋简体"/>
          <w:color w:val="auto"/>
          <w:sz w:val="44"/>
          <w:szCs w:val="22"/>
          <w:highlight w:val="none"/>
          <w:lang w:val="en-US" w:eastAsia="zh-CN"/>
        </w:rPr>
        <w:t xml:space="preserve"> </w:t>
      </w:r>
      <w:r>
        <w:rPr>
          <w:rFonts w:hint="eastAsia" w:eastAsia="方正小标宋简体"/>
          <w:color w:val="auto"/>
          <w:sz w:val="44"/>
          <w:szCs w:val="22"/>
          <w:highlight w:val="none"/>
        </w:rPr>
        <w:t>响应文件编制要求</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spacing w:line="520" w:lineRule="exact"/>
        <w:jc w:val="center"/>
        <w:rPr>
          <w:rFonts w:ascii="方正仿宋_GBK" w:hAnsi="仿宋" w:eastAsia="仿宋" w:cs="仿宋"/>
          <w:color w:val="auto"/>
          <w:kern w:val="0"/>
          <w:szCs w:val="28"/>
          <w:highlight w:val="none"/>
        </w:rPr>
      </w:pPr>
      <w:bookmarkStart w:id="730" w:name="_Toc6266"/>
      <w:r>
        <w:rPr>
          <w:rFonts w:hint="eastAsia" w:ascii="方正仿宋_GBK" w:hAnsi="仿宋" w:eastAsia="仿宋" w:cs="仿宋"/>
          <w:color w:val="auto"/>
          <w:kern w:val="0"/>
          <w:szCs w:val="28"/>
          <w:highlight w:val="none"/>
        </w:rPr>
        <w:t>（请按本篇要求提供，但不限于以下格式内容）</w:t>
      </w:r>
      <w:bookmarkEnd w:id="730"/>
    </w:p>
    <w:p>
      <w:pPr>
        <w:spacing w:line="520" w:lineRule="exact"/>
        <w:ind w:firstLine="482" w:firstLineChars="200"/>
        <w:jc w:val="left"/>
        <w:rPr>
          <w:rFonts w:ascii="方正仿宋_GBK" w:hAnsi="仿宋" w:eastAsia="仿宋" w:cs="仿宋"/>
          <w:b/>
          <w:bCs/>
          <w:color w:val="auto"/>
          <w:kern w:val="0"/>
          <w:szCs w:val="28"/>
          <w:highlight w:val="none"/>
        </w:rPr>
      </w:pPr>
      <w:bookmarkStart w:id="731" w:name="_Toc14604"/>
      <w:bookmarkStart w:id="732" w:name="_Toc11294"/>
      <w:bookmarkStart w:id="733" w:name="_Toc20237"/>
      <w:bookmarkStart w:id="734" w:name="_Toc13389"/>
      <w:bookmarkStart w:id="735" w:name="_Toc8257"/>
      <w:bookmarkStart w:id="736" w:name="_Toc32499"/>
      <w:bookmarkStart w:id="737" w:name="_Toc25050"/>
      <w:bookmarkStart w:id="738" w:name="_Toc25677"/>
      <w:bookmarkStart w:id="739" w:name="_Toc27020"/>
      <w:bookmarkStart w:id="740" w:name="_Toc27313"/>
      <w:bookmarkStart w:id="741" w:name="_Toc77"/>
      <w:bookmarkStart w:id="742" w:name="_Toc30136"/>
      <w:r>
        <w:rPr>
          <w:rFonts w:hint="eastAsia" w:ascii="方正仿宋_GBK" w:hAnsi="仿宋" w:eastAsia="仿宋" w:cs="仿宋"/>
          <w:b/>
          <w:bCs/>
          <w:color w:val="auto"/>
          <w:kern w:val="0"/>
          <w:szCs w:val="28"/>
          <w:highlight w:val="none"/>
        </w:rPr>
        <w:t>一、经济部分</w:t>
      </w:r>
      <w:bookmarkEnd w:id="731"/>
      <w:bookmarkEnd w:id="732"/>
      <w:bookmarkEnd w:id="733"/>
      <w:bookmarkEnd w:id="734"/>
      <w:bookmarkEnd w:id="735"/>
      <w:bookmarkEnd w:id="736"/>
      <w:bookmarkEnd w:id="737"/>
      <w:bookmarkEnd w:id="738"/>
      <w:bookmarkEnd w:id="739"/>
      <w:bookmarkEnd w:id="740"/>
      <w:bookmarkEnd w:id="741"/>
      <w:bookmarkEnd w:id="742"/>
    </w:p>
    <w:p>
      <w:pPr>
        <w:spacing w:line="520" w:lineRule="exact"/>
        <w:ind w:firstLine="480" w:firstLineChars="200"/>
        <w:jc w:val="left"/>
        <w:rPr>
          <w:rFonts w:eastAsia="仿宋"/>
          <w:color w:val="auto"/>
          <w:highlight w:val="none"/>
        </w:rPr>
      </w:pPr>
      <w:r>
        <w:rPr>
          <w:rFonts w:hint="eastAsia" w:ascii="方正仿宋_GBK" w:hAnsi="仿宋" w:eastAsia="仿宋" w:cs="仿宋"/>
          <w:color w:val="auto"/>
          <w:kern w:val="0"/>
          <w:szCs w:val="28"/>
          <w:highlight w:val="none"/>
        </w:rPr>
        <w:t>（一）竞争性磋商报价函</w:t>
      </w:r>
    </w:p>
    <w:p>
      <w:pPr>
        <w:spacing w:line="520" w:lineRule="exact"/>
        <w:ind w:firstLine="482" w:firstLineChars="200"/>
        <w:jc w:val="left"/>
        <w:rPr>
          <w:rFonts w:ascii="方正仿宋_GBK" w:hAnsi="仿宋" w:eastAsia="仿宋" w:cs="仿宋"/>
          <w:b/>
          <w:bCs/>
          <w:color w:val="auto"/>
          <w:kern w:val="0"/>
          <w:szCs w:val="28"/>
          <w:highlight w:val="none"/>
        </w:rPr>
      </w:pPr>
      <w:bookmarkStart w:id="743" w:name="_Toc969"/>
      <w:bookmarkStart w:id="744" w:name="_Toc2401"/>
      <w:bookmarkStart w:id="745" w:name="_Toc20288"/>
      <w:bookmarkStart w:id="746" w:name="_Toc8433"/>
      <w:bookmarkStart w:id="747" w:name="_Toc31702"/>
      <w:bookmarkStart w:id="748" w:name="_Toc18828"/>
      <w:bookmarkStart w:id="749" w:name="_Toc23423"/>
      <w:bookmarkStart w:id="750" w:name="_Toc22325"/>
      <w:bookmarkStart w:id="751" w:name="_Toc6158"/>
      <w:bookmarkStart w:id="752" w:name="_Toc19046"/>
      <w:bookmarkStart w:id="753" w:name="_Toc20689"/>
      <w:bookmarkStart w:id="754" w:name="_Toc24945"/>
      <w:r>
        <w:rPr>
          <w:rFonts w:hint="eastAsia" w:ascii="方正仿宋_GBK" w:hAnsi="仿宋" w:eastAsia="仿宋" w:cs="仿宋"/>
          <w:b/>
          <w:bCs/>
          <w:color w:val="auto"/>
          <w:kern w:val="0"/>
          <w:szCs w:val="28"/>
          <w:highlight w:val="none"/>
        </w:rPr>
        <w:t>二、服务部分</w:t>
      </w:r>
      <w:bookmarkEnd w:id="743"/>
      <w:bookmarkEnd w:id="744"/>
      <w:bookmarkEnd w:id="745"/>
      <w:bookmarkEnd w:id="746"/>
      <w:bookmarkEnd w:id="747"/>
      <w:bookmarkEnd w:id="748"/>
      <w:bookmarkEnd w:id="749"/>
      <w:bookmarkEnd w:id="750"/>
      <w:bookmarkEnd w:id="751"/>
      <w:bookmarkEnd w:id="752"/>
      <w:bookmarkEnd w:id="753"/>
      <w:bookmarkEnd w:id="754"/>
    </w:p>
    <w:p>
      <w:pPr>
        <w:spacing w:line="520" w:lineRule="exact"/>
        <w:ind w:firstLine="480" w:firstLineChars="200"/>
        <w:jc w:val="left"/>
        <w:rPr>
          <w:rFonts w:ascii="方正仿宋_GBK" w:hAnsi="仿宋" w:eastAsia="仿宋" w:cs="仿宋"/>
          <w:color w:val="auto"/>
          <w:kern w:val="0"/>
          <w:szCs w:val="28"/>
          <w:highlight w:val="none"/>
        </w:rPr>
      </w:pPr>
      <w:bookmarkStart w:id="755" w:name="_Toc1765"/>
      <w:bookmarkStart w:id="756" w:name="_Toc30337"/>
      <w:bookmarkStart w:id="757" w:name="_Toc14173"/>
      <w:bookmarkStart w:id="758" w:name="_Toc25754"/>
      <w:bookmarkStart w:id="759" w:name="_Toc29524"/>
      <w:bookmarkStart w:id="760" w:name="_Toc13997"/>
      <w:bookmarkStart w:id="761" w:name="_Toc30039"/>
      <w:bookmarkStart w:id="762" w:name="_Toc21499"/>
      <w:bookmarkStart w:id="763" w:name="_Toc28516"/>
      <w:bookmarkStart w:id="764" w:name="_Toc16158"/>
      <w:bookmarkStart w:id="765" w:name="_Toc15365"/>
      <w:bookmarkStart w:id="766" w:name="_Toc20631"/>
      <w:r>
        <w:rPr>
          <w:rFonts w:hint="eastAsia" w:ascii="方正仿宋_GBK" w:hAnsi="仿宋" w:eastAsia="仿宋" w:cs="仿宋"/>
          <w:color w:val="auto"/>
          <w:kern w:val="0"/>
          <w:szCs w:val="28"/>
          <w:highlight w:val="none"/>
        </w:rPr>
        <w:t>（一）服务响应差异表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（二）竞争性磋商文件第二篇所需方案或证明材料（如果有）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（三）竞争性磋商文件第四篇评审标准“服务部分”所要求的方案或证明材料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（四）其他响应竞争性磋商文件提供的服务文件</w:t>
      </w:r>
    </w:p>
    <w:p>
      <w:pPr>
        <w:spacing w:line="520" w:lineRule="exact"/>
        <w:ind w:firstLine="482" w:firstLineChars="200"/>
        <w:jc w:val="left"/>
        <w:rPr>
          <w:rFonts w:ascii="方正仿宋_GBK" w:hAnsi="仿宋" w:eastAsia="仿宋" w:cs="仿宋"/>
          <w:b/>
          <w:bCs/>
          <w:color w:val="auto"/>
          <w:kern w:val="0"/>
          <w:szCs w:val="28"/>
          <w:highlight w:val="none"/>
        </w:rPr>
      </w:pPr>
      <w:r>
        <w:rPr>
          <w:rFonts w:hint="eastAsia" w:ascii="方正仿宋_GBK" w:hAnsi="仿宋" w:eastAsia="仿宋" w:cs="仿宋"/>
          <w:b/>
          <w:bCs/>
          <w:color w:val="auto"/>
          <w:kern w:val="0"/>
          <w:szCs w:val="28"/>
          <w:highlight w:val="none"/>
        </w:rPr>
        <w:t>三、商务部分</w:t>
      </w:r>
      <w:bookmarkEnd w:id="755"/>
      <w:bookmarkEnd w:id="756"/>
      <w:bookmarkEnd w:id="757"/>
      <w:bookmarkEnd w:id="758"/>
      <w:bookmarkEnd w:id="759"/>
      <w:bookmarkEnd w:id="760"/>
      <w:bookmarkEnd w:id="761"/>
      <w:bookmarkEnd w:id="762"/>
      <w:bookmarkEnd w:id="763"/>
      <w:bookmarkEnd w:id="764"/>
      <w:bookmarkEnd w:id="765"/>
      <w:bookmarkEnd w:id="766"/>
    </w:p>
    <w:p>
      <w:pPr>
        <w:spacing w:line="520" w:lineRule="exact"/>
        <w:ind w:firstLine="480" w:firstLineChars="200"/>
        <w:jc w:val="left"/>
        <w:rPr>
          <w:rFonts w:ascii="方正仿宋_GBK" w:hAnsi="仿宋" w:eastAsia="仿宋" w:cs="仿宋"/>
          <w:color w:val="auto"/>
          <w:kern w:val="0"/>
          <w:szCs w:val="28"/>
          <w:highlight w:val="none"/>
        </w:rPr>
      </w:pPr>
      <w:bookmarkStart w:id="767" w:name="_Toc12483"/>
      <w:bookmarkStart w:id="768" w:name="_Toc26230"/>
      <w:bookmarkStart w:id="769" w:name="_Toc20217"/>
      <w:bookmarkStart w:id="770" w:name="_Toc30182"/>
      <w:bookmarkStart w:id="771" w:name="_Toc12818"/>
      <w:bookmarkStart w:id="772" w:name="_Toc2821"/>
      <w:bookmarkStart w:id="773" w:name="_Toc28208"/>
      <w:bookmarkStart w:id="774" w:name="_Toc29922"/>
      <w:bookmarkStart w:id="775" w:name="_Toc15693"/>
      <w:bookmarkStart w:id="776" w:name="_Toc17364"/>
      <w:bookmarkStart w:id="777" w:name="_Toc30328"/>
      <w:bookmarkStart w:id="778" w:name="_Toc29770"/>
      <w:r>
        <w:rPr>
          <w:rFonts w:hint="eastAsia" w:ascii="方正仿宋_GBK" w:hAnsi="仿宋" w:eastAsia="仿宋" w:cs="仿宋"/>
          <w:color w:val="auto"/>
          <w:kern w:val="0"/>
          <w:szCs w:val="28"/>
          <w:highlight w:val="none"/>
        </w:rPr>
        <w:t>（一）商务响应差异表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（二）竞争性磋商文件第三篇所需证明材料（如果有）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（三）竞争性磋商文件第四篇评审标准“商务部分”所要求的证明材料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（四）其他响应竞争性磋商文件提供的商务文件</w:t>
      </w:r>
    </w:p>
    <w:bookmarkEnd w:id="767"/>
    <w:bookmarkEnd w:id="768"/>
    <w:bookmarkEnd w:id="769"/>
    <w:bookmarkEnd w:id="770"/>
    <w:bookmarkEnd w:id="771"/>
    <w:bookmarkEnd w:id="772"/>
    <w:bookmarkEnd w:id="773"/>
    <w:bookmarkEnd w:id="774"/>
    <w:bookmarkEnd w:id="775"/>
    <w:bookmarkEnd w:id="776"/>
    <w:bookmarkEnd w:id="777"/>
    <w:bookmarkEnd w:id="778"/>
    <w:p>
      <w:pPr>
        <w:spacing w:line="520" w:lineRule="exact"/>
        <w:ind w:firstLine="482" w:firstLineChars="200"/>
        <w:jc w:val="left"/>
        <w:rPr>
          <w:rFonts w:ascii="方正仿宋_GBK" w:hAnsi="仿宋" w:eastAsia="仿宋" w:cs="仿宋"/>
          <w:b/>
          <w:bCs/>
          <w:color w:val="auto"/>
          <w:kern w:val="0"/>
          <w:szCs w:val="28"/>
          <w:highlight w:val="none"/>
        </w:rPr>
      </w:pPr>
      <w:bookmarkStart w:id="779" w:name="_Toc13708"/>
      <w:bookmarkStart w:id="780" w:name="_Toc3091"/>
      <w:bookmarkStart w:id="781" w:name="_Toc17752"/>
      <w:bookmarkStart w:id="782" w:name="_Toc29479"/>
      <w:bookmarkStart w:id="783" w:name="_Toc12300"/>
      <w:bookmarkStart w:id="784" w:name="_Toc16187"/>
      <w:bookmarkStart w:id="785" w:name="_Toc28176"/>
      <w:bookmarkStart w:id="786" w:name="_Toc1848"/>
      <w:bookmarkStart w:id="787" w:name="_Toc16026"/>
      <w:bookmarkStart w:id="788" w:name="_Toc18716"/>
      <w:bookmarkStart w:id="789" w:name="_Toc27590"/>
      <w:bookmarkStart w:id="790" w:name="_Toc27529"/>
      <w:r>
        <w:rPr>
          <w:rFonts w:hint="eastAsia" w:ascii="方正仿宋_GBK" w:hAnsi="仿宋" w:eastAsia="仿宋" w:cs="仿宋"/>
          <w:b/>
          <w:bCs/>
          <w:color w:val="auto"/>
          <w:kern w:val="0"/>
          <w:szCs w:val="28"/>
          <w:highlight w:val="none"/>
          <w:lang w:eastAsia="zh-CN"/>
        </w:rPr>
        <w:t>四</w:t>
      </w:r>
      <w:r>
        <w:rPr>
          <w:rFonts w:hint="eastAsia" w:ascii="方正仿宋_GBK" w:hAnsi="仿宋" w:eastAsia="仿宋" w:cs="仿宋"/>
          <w:b/>
          <w:bCs/>
          <w:color w:val="auto"/>
          <w:kern w:val="0"/>
          <w:szCs w:val="28"/>
          <w:highlight w:val="none"/>
        </w:rPr>
        <w:t>、资格</w:t>
      </w:r>
      <w:bookmarkEnd w:id="779"/>
      <w:r>
        <w:rPr>
          <w:rFonts w:hint="eastAsia" w:ascii="方正仿宋_GBK" w:hAnsi="仿宋" w:eastAsia="仿宋" w:cs="仿宋"/>
          <w:b/>
          <w:bCs/>
          <w:color w:val="auto"/>
          <w:kern w:val="0"/>
          <w:szCs w:val="28"/>
          <w:highlight w:val="none"/>
        </w:rPr>
        <w:t>文件</w:t>
      </w:r>
      <w:bookmarkEnd w:id="780"/>
      <w:bookmarkEnd w:id="781"/>
      <w:bookmarkEnd w:id="782"/>
      <w:bookmarkEnd w:id="783"/>
      <w:bookmarkEnd w:id="784"/>
      <w:bookmarkEnd w:id="785"/>
      <w:bookmarkEnd w:id="786"/>
      <w:bookmarkEnd w:id="787"/>
      <w:bookmarkEnd w:id="788"/>
      <w:bookmarkEnd w:id="789"/>
      <w:bookmarkEnd w:id="790"/>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（一）法人营业执照（副本）或事业单位法人证书（副本）或个体工商户营业执照或有效的自然人身份证明或社会团体法人登记证书复印件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（二）法定代表人身份证明书（格式）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（三）法定代表人授权委托书（格式）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（四）基本资格条件承诺函（格式）</w:t>
      </w:r>
    </w:p>
    <w:p>
      <w:pPr>
        <w:spacing w:line="520" w:lineRule="exact"/>
        <w:ind w:firstLine="480" w:firstLineChars="200"/>
        <w:jc w:val="left"/>
        <w:rPr>
          <w:rFonts w:hint="eastAsia" w:ascii="方正仿宋_GBK" w:hAnsi="仿宋" w:eastAsia="方正仿宋_GBK" w:cs="仿宋"/>
          <w:color w:val="auto"/>
          <w:kern w:val="0"/>
          <w:szCs w:val="28"/>
          <w:highlight w:val="none"/>
          <w:lang w:val="en-US" w:eastAsia="zh-CN"/>
        </w:rPr>
      </w:pPr>
      <w:r>
        <w:rPr>
          <w:rFonts w:hint="eastAsia" w:ascii="方正仿宋_GBK" w:hAnsi="仿宋" w:eastAsia="方正仿宋_GBK" w:cs="仿宋"/>
          <w:color w:val="auto"/>
          <w:kern w:val="0"/>
          <w:szCs w:val="28"/>
          <w:highlight w:val="none"/>
          <w:lang w:val="en-US" w:eastAsia="zh-CN"/>
        </w:rPr>
        <w:t>（</w:t>
      </w:r>
      <w:r>
        <w:rPr>
          <w:rFonts w:hint="eastAsia" w:ascii="方正仿宋_GBK" w:hAnsi="仿宋" w:cs="仿宋"/>
          <w:color w:val="auto"/>
          <w:kern w:val="0"/>
          <w:szCs w:val="28"/>
          <w:highlight w:val="none"/>
          <w:lang w:val="en-US" w:eastAsia="zh-CN"/>
        </w:rPr>
        <w:t>五</w:t>
      </w:r>
      <w:r>
        <w:rPr>
          <w:rFonts w:hint="eastAsia" w:ascii="方正仿宋_GBK" w:hAnsi="仿宋" w:eastAsia="方正仿宋_GBK" w:cs="仿宋"/>
          <w:color w:val="auto"/>
          <w:kern w:val="0"/>
          <w:szCs w:val="28"/>
          <w:highlight w:val="none"/>
          <w:lang w:val="en-US" w:eastAsia="zh-CN"/>
        </w:rPr>
        <w:t>）特定资格条件证书或证明文件</w:t>
      </w:r>
    </w:p>
    <w:p>
      <w:pPr>
        <w:spacing w:line="520" w:lineRule="exact"/>
        <w:ind w:firstLine="480" w:firstLineChars="200"/>
        <w:jc w:val="left"/>
        <w:rPr>
          <w:rFonts w:ascii="方正仿宋_GBK" w:hAnsi="仿宋" w:eastAsia="仿宋" w:cs="仿宋"/>
          <w:b/>
          <w:bCs/>
          <w:color w:val="auto"/>
          <w:kern w:val="0"/>
          <w:szCs w:val="28"/>
          <w:highlight w:val="none"/>
        </w:rPr>
      </w:pPr>
      <w:r>
        <w:rPr>
          <w:rFonts w:hint="eastAsia" w:ascii="方正仿宋_GBK" w:hAnsi="仿宋" w:eastAsia="仿宋" w:cs="仿宋"/>
          <w:color w:val="auto"/>
          <w:kern w:val="0"/>
          <w:szCs w:val="28"/>
          <w:highlight w:val="none"/>
        </w:rPr>
        <w:t>说明：供应商按“多证合一”登记制度办理营业执照的，税务登记证（副本）和社会保险登记证以供应商所提供的法人营业执照（副本）复印件为准。</w:t>
      </w:r>
      <w:r>
        <w:rPr>
          <w:rFonts w:ascii="宋体" w:hAnsi="宋体" w:eastAsia="仿宋"/>
          <w:bCs/>
          <w:color w:val="auto"/>
          <w:highlight w:val="none"/>
        </w:rPr>
        <w:br w:type="page"/>
      </w:r>
      <w:bookmarkStart w:id="791" w:name="_Toc20949"/>
      <w:bookmarkStart w:id="792" w:name="_Toc18058"/>
      <w:bookmarkStart w:id="793" w:name="_Toc12741"/>
      <w:bookmarkStart w:id="794" w:name="_Toc30105"/>
      <w:bookmarkStart w:id="795" w:name="_Toc10208"/>
      <w:bookmarkStart w:id="796" w:name="_Toc28175"/>
      <w:bookmarkStart w:id="797" w:name="_Toc15068"/>
      <w:bookmarkStart w:id="798" w:name="_Toc20852"/>
      <w:bookmarkStart w:id="799" w:name="_Toc30683"/>
      <w:bookmarkStart w:id="800" w:name="_Toc16090"/>
      <w:bookmarkStart w:id="801" w:name="_Toc5087"/>
      <w:bookmarkStart w:id="802" w:name="_Toc28394"/>
      <w:bookmarkStart w:id="803" w:name="_Toc25301"/>
      <w:bookmarkStart w:id="804" w:name="_Toc18483"/>
      <w:bookmarkStart w:id="805" w:name="_Toc21792"/>
      <w:bookmarkStart w:id="806" w:name="_Toc19023"/>
      <w:bookmarkStart w:id="807" w:name="_Toc17660"/>
      <w:bookmarkStart w:id="808" w:name="_Toc48837333"/>
      <w:bookmarkStart w:id="809" w:name="_Toc29008"/>
      <w:bookmarkStart w:id="810" w:name="_Toc21912"/>
      <w:bookmarkStart w:id="811" w:name="_Toc10090"/>
      <w:bookmarkStart w:id="812" w:name="_Toc20934"/>
      <w:bookmarkStart w:id="813" w:name="_Toc2635"/>
      <w:bookmarkStart w:id="814" w:name="_Toc23265"/>
      <w:bookmarkStart w:id="815" w:name="_Toc3491"/>
      <w:bookmarkStart w:id="816" w:name="_Toc25481"/>
      <w:bookmarkStart w:id="817" w:name="_Toc15293"/>
      <w:r>
        <w:rPr>
          <w:rFonts w:hint="eastAsia" w:ascii="方正仿宋_GBK" w:hAnsi="仿宋" w:eastAsia="仿宋" w:cs="仿宋"/>
          <w:b/>
          <w:bCs/>
          <w:color w:val="auto"/>
          <w:kern w:val="0"/>
          <w:szCs w:val="28"/>
          <w:highlight w:val="none"/>
        </w:rPr>
        <w:t>一、经济部分</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spacing w:line="520" w:lineRule="exact"/>
        <w:ind w:firstLine="480" w:firstLineChars="200"/>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（一）磋商报价函</w:t>
      </w:r>
    </w:p>
    <w:p>
      <w:pPr>
        <w:spacing w:beforeLines="100" w:afterLines="100" w:line="520" w:lineRule="exact"/>
        <w:jc w:val="center"/>
        <w:rPr>
          <w:rFonts w:ascii="方正仿宋_GBK" w:hAnsi="仿宋" w:eastAsia="仿宋" w:cs="仿宋"/>
          <w:b/>
          <w:bCs/>
          <w:color w:val="auto"/>
          <w:kern w:val="0"/>
          <w:sz w:val="28"/>
          <w:szCs w:val="32"/>
          <w:highlight w:val="none"/>
        </w:rPr>
      </w:pPr>
      <w:r>
        <w:rPr>
          <w:rFonts w:hint="eastAsia" w:ascii="方正仿宋_GBK" w:hAnsi="仿宋" w:eastAsia="仿宋" w:cs="仿宋"/>
          <w:b/>
          <w:bCs/>
          <w:color w:val="auto"/>
          <w:kern w:val="0"/>
          <w:sz w:val="28"/>
          <w:szCs w:val="32"/>
          <w:highlight w:val="none"/>
        </w:rPr>
        <w:t>竞争性磋商报价函</w:t>
      </w:r>
    </w:p>
    <w:p>
      <w:pPr>
        <w:spacing w:line="520" w:lineRule="exact"/>
        <w:ind w:firstLine="480" w:firstLineChars="200"/>
        <w:jc w:val="left"/>
        <w:rPr>
          <w:rFonts w:hint="eastAsia" w:ascii="方正仿宋_GBK" w:hAnsi="仿宋" w:eastAsia="仿宋" w:cs="仿宋"/>
          <w:color w:val="auto"/>
          <w:kern w:val="0"/>
          <w:szCs w:val="28"/>
          <w:highlight w:val="none"/>
          <w:u w:val="single"/>
          <w:lang w:val="en-US" w:eastAsia="zh-CN"/>
        </w:rPr>
      </w:pPr>
      <w:r>
        <w:rPr>
          <w:rFonts w:hint="eastAsia" w:ascii="方正仿宋_GBK" w:hAnsi="仿宋" w:eastAsia="仿宋" w:cs="仿宋"/>
          <w:color w:val="auto"/>
          <w:kern w:val="0"/>
          <w:szCs w:val="28"/>
          <w:highlight w:val="none"/>
        </w:rPr>
        <w:t>（采购代理机构名称）：</w:t>
      </w:r>
      <w:r>
        <w:rPr>
          <w:rFonts w:hint="eastAsia" w:ascii="方正仿宋_GBK" w:hAnsi="仿宋" w:eastAsia="仿宋" w:cs="仿宋"/>
          <w:color w:val="auto"/>
          <w:kern w:val="0"/>
          <w:szCs w:val="28"/>
          <w:highlight w:val="none"/>
          <w:u w:val="single"/>
          <w:lang w:val="en-US" w:eastAsia="zh-CN"/>
        </w:rPr>
        <w:t xml:space="preserve">                 </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我方收到</w:t>
      </w:r>
      <w:r>
        <w:rPr>
          <w:rFonts w:hint="eastAsia" w:ascii="方正仿宋_GBK" w:hAnsi="仿宋" w:eastAsia="仿宋" w:cs="仿宋"/>
          <w:color w:val="auto"/>
          <w:kern w:val="0"/>
          <w:szCs w:val="28"/>
          <w:highlight w:val="none"/>
          <w:lang w:val="en-US" w:eastAsia="zh-CN"/>
        </w:rPr>
        <w:t xml:space="preserve"> </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（磋商项目名称）的竞争性磋商文件，经详细研究，决定参加该磋商项目（项目号）的竞争磋商。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愿意按照竞争性磋商文件中的一切要求，提供本项目的技术服务，报价为人民币大写：</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元整，人民币小写</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元。</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2、我方现提交的响应文件为：响应文件正本</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份，副本</w:t>
      </w:r>
      <w:r>
        <w:rPr>
          <w:rFonts w:hint="eastAsia" w:ascii="方正仿宋_GBK" w:hAnsi="仿宋" w:eastAsia="仿宋" w:cs="仿宋"/>
          <w:color w:val="auto"/>
          <w:kern w:val="0"/>
          <w:szCs w:val="28"/>
          <w:highlight w:val="none"/>
          <w:u w:val="single"/>
          <w:lang w:val="en-US" w:eastAsia="zh-CN"/>
        </w:rPr>
        <w:t xml:space="preserve">   </w:t>
      </w:r>
      <w:r>
        <w:rPr>
          <w:rFonts w:hint="eastAsia" w:ascii="方正仿宋_GBK" w:hAnsi="仿宋" w:eastAsia="仿宋" w:cs="仿宋"/>
          <w:color w:val="auto"/>
          <w:kern w:val="0"/>
          <w:szCs w:val="28"/>
          <w:highlight w:val="none"/>
        </w:rPr>
        <w:t>份。</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3、我方承诺：本次磋商的有效期为</w:t>
      </w:r>
      <w:r>
        <w:rPr>
          <w:rFonts w:hint="eastAsia" w:ascii="方正仿宋_GBK" w:hAnsi="仿宋" w:eastAsia="仿宋" w:cs="仿宋"/>
          <w:color w:val="auto"/>
          <w:kern w:val="0"/>
          <w:szCs w:val="28"/>
          <w:highlight w:val="none"/>
          <w:u w:val="single"/>
        </w:rPr>
        <w:t>90</w:t>
      </w:r>
      <w:r>
        <w:rPr>
          <w:rFonts w:hint="eastAsia" w:ascii="方正仿宋_GBK" w:hAnsi="仿宋" w:eastAsia="仿宋" w:cs="仿宋"/>
          <w:color w:val="auto"/>
          <w:kern w:val="0"/>
          <w:szCs w:val="28"/>
          <w:highlight w:val="none"/>
        </w:rPr>
        <w:t>天。</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4、我方完全理解和接受贵方竞争性磋商文件的一切规定和要求及磋商评审办法。</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5、在整个竞争性磋商过程中，我方若有违规行为，接受按照《中华人民共和国政府采购法》和《竞争性磋商文件》之规定给予惩罚。</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6、我方若成为成交供应商，将按照最终磋商结果签订合同，并且严格履行合同义务。本承诺函将成为合同不可分割的一部分，与合同具有同等的法律效力。</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7、我方理解，最低报价不是成交的唯一条件。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8.我方未为采购项目提供整体设计、规范编制或者项目管理、监理、检测等服务。</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供应商（公章）或自然人签署：</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 xml:space="preserve">地址：  </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电话：                                             传真：</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网址：                                             邮编：</w:t>
      </w:r>
    </w:p>
    <w:p>
      <w:pPr>
        <w:tabs>
          <w:tab w:val="left" w:pos="6300"/>
        </w:tabs>
        <w:snapToGrid w:val="0"/>
        <w:spacing w:line="312" w:lineRule="auto"/>
        <w:ind w:firstLine="570"/>
        <w:rPr>
          <w:rFonts w:ascii="方正仿宋_GBK" w:hAnsi="宋体"/>
          <w:color w:val="auto"/>
          <w:szCs w:val="24"/>
          <w:highlight w:val="none"/>
        </w:rPr>
      </w:pPr>
      <w:r>
        <w:rPr>
          <w:rFonts w:hint="eastAsia" w:ascii="方正仿宋_GBK" w:hAnsi="宋体"/>
          <w:color w:val="auto"/>
          <w:szCs w:val="24"/>
          <w:highlight w:val="none"/>
        </w:rPr>
        <w:t>联系人：</w:t>
      </w:r>
    </w:p>
    <w:p>
      <w:pPr>
        <w:spacing w:line="520" w:lineRule="exact"/>
        <w:ind w:firstLine="480" w:firstLineChars="200"/>
        <w:jc w:val="left"/>
        <w:rPr>
          <w:rFonts w:ascii="方正仿宋_GBK" w:hAnsi="仿宋" w:eastAsia="仿宋" w:cs="仿宋"/>
          <w:color w:val="auto"/>
          <w:kern w:val="0"/>
          <w:szCs w:val="28"/>
          <w:highlight w:val="none"/>
        </w:rPr>
      </w:pPr>
    </w:p>
    <w:p>
      <w:pPr>
        <w:spacing w:line="520" w:lineRule="exact"/>
        <w:ind w:firstLine="5640" w:firstLineChars="2350"/>
        <w:jc w:val="left"/>
        <w:rPr>
          <w:rFonts w:ascii="方正仿宋_GBK" w:cs="仿宋"/>
          <w:color w:val="auto"/>
          <w:kern w:val="0"/>
          <w:szCs w:val="28"/>
          <w:highlight w:val="none"/>
        </w:rPr>
      </w:pPr>
      <w:r>
        <w:rPr>
          <w:rFonts w:hint="eastAsia" w:ascii="方正仿宋_GBK" w:hAnsi="仿宋" w:eastAsia="仿宋" w:cs="仿宋"/>
          <w:color w:val="auto"/>
          <w:kern w:val="0"/>
          <w:szCs w:val="28"/>
          <w:highlight w:val="none"/>
        </w:rPr>
        <w:t>年   月   日</w:t>
      </w:r>
      <w:bookmarkStart w:id="818" w:name="_Hlk84671901"/>
      <w:bookmarkEnd w:id="818"/>
      <w:bookmarkStart w:id="819" w:name="_Toc161727399"/>
      <w:bookmarkStart w:id="820" w:name="_Hlk84946564"/>
    </w:p>
    <w:bookmarkEnd w:id="819"/>
    <w:bookmarkEnd w:id="820"/>
    <w:p>
      <w:pPr>
        <w:spacing w:line="520" w:lineRule="exact"/>
        <w:jc w:val="left"/>
        <w:rPr>
          <w:rFonts w:eastAsia="仿宋"/>
          <w:color w:val="auto"/>
          <w:highlight w:val="none"/>
        </w:rPr>
      </w:pPr>
      <w:bookmarkStart w:id="821" w:name="_Toc31684"/>
      <w:bookmarkStart w:id="822" w:name="_Toc22054"/>
      <w:bookmarkStart w:id="823" w:name="_Toc27814"/>
      <w:bookmarkStart w:id="824" w:name="_Toc14882"/>
      <w:bookmarkStart w:id="825" w:name="_Toc19026"/>
      <w:bookmarkStart w:id="826" w:name="_Toc23128"/>
      <w:bookmarkStart w:id="827" w:name="_Toc11931"/>
      <w:bookmarkStart w:id="828" w:name="_Toc20747"/>
      <w:bookmarkStart w:id="829" w:name="_Toc19211"/>
      <w:bookmarkStart w:id="830" w:name="_Toc48837334"/>
      <w:bookmarkStart w:id="831" w:name="_Toc29192"/>
      <w:bookmarkStart w:id="832" w:name="_Toc20381"/>
      <w:bookmarkStart w:id="833" w:name="_Toc5052"/>
      <w:bookmarkStart w:id="834" w:name="_Toc8363"/>
      <w:bookmarkStart w:id="835" w:name="_Toc12729"/>
      <w:bookmarkStart w:id="836" w:name="_Toc3620"/>
      <w:bookmarkStart w:id="837" w:name="_Toc24441"/>
      <w:bookmarkStart w:id="838" w:name="_Toc17120"/>
      <w:bookmarkStart w:id="839" w:name="_Toc9141"/>
      <w:bookmarkStart w:id="840" w:name="_Toc25703"/>
      <w:bookmarkStart w:id="841" w:name="_Toc16499"/>
      <w:bookmarkStart w:id="842" w:name="_Toc26656"/>
      <w:bookmarkStart w:id="843" w:name="_Toc166"/>
      <w:bookmarkStart w:id="844" w:name="_Toc161727398"/>
    </w:p>
    <w:p>
      <w:pPr>
        <w:pStyle w:val="2"/>
        <w:spacing w:line="520" w:lineRule="exact"/>
        <w:jc w:val="both"/>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w:t>
      </w:r>
    </w:p>
    <w:p>
      <w:pPr>
        <w:pStyle w:val="2"/>
        <w:spacing w:line="520" w:lineRule="exact"/>
        <w:jc w:val="both"/>
        <w:rPr>
          <w:rFonts w:hint="eastAsia" w:ascii="仿宋" w:hAnsi="仿宋" w:eastAsia="仿宋"/>
          <w:color w:val="auto"/>
          <w:sz w:val="24"/>
          <w:szCs w:val="28"/>
          <w:highlight w:val="none"/>
        </w:rPr>
      </w:pPr>
    </w:p>
    <w:p>
      <w:pPr>
        <w:pStyle w:val="2"/>
        <w:spacing w:line="520" w:lineRule="exact"/>
        <w:jc w:val="both"/>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lang w:eastAsia="zh-CN"/>
        </w:rPr>
        <w:t>明细报价：</w:t>
      </w:r>
    </w:p>
    <w:tbl>
      <w:tblPr>
        <w:tblStyle w:val="25"/>
        <w:tblpPr w:leftFromText="180" w:rightFromText="180" w:vertAnchor="text" w:horzAnchor="page" w:tblpX="1075" w:tblpY="481"/>
        <w:tblOverlap w:val="never"/>
        <w:tblW w:w="10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929"/>
        <w:gridCol w:w="2552"/>
        <w:gridCol w:w="1503"/>
        <w:gridCol w:w="646"/>
        <w:gridCol w:w="481"/>
        <w:gridCol w:w="918"/>
        <w:gridCol w:w="1004"/>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名称</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材质工艺</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尺寸规格</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预估数量</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单位</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单项</w:t>
            </w:r>
          </w:p>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限价</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r>
              <w:rPr>
                <w:rFonts w:hint="eastAsia" w:ascii="方正仿宋_GBK" w:hAnsi="方正仿宋_GBK" w:cs="方正仿宋_GBK"/>
                <w:b/>
                <w:bCs/>
                <w:i w:val="0"/>
                <w:iCs w:val="0"/>
                <w:color w:val="auto"/>
                <w:kern w:val="0"/>
                <w:sz w:val="22"/>
                <w:szCs w:val="22"/>
                <w:highlight w:val="none"/>
                <w:u w:val="none"/>
                <w:lang w:val="en-US" w:eastAsia="zh-CN" w:bidi="ar"/>
              </w:rPr>
              <w:t>单项报</w:t>
            </w: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价</w:t>
            </w:r>
            <w:r>
              <w:rPr>
                <w:rFonts w:hint="eastAsia" w:ascii="方正仿宋_GBK" w:hAnsi="方正仿宋_GBK" w:cs="方正仿宋_GBK"/>
                <w:b/>
                <w:bCs/>
                <w:i w:val="0"/>
                <w:iCs w:val="0"/>
                <w:color w:val="auto"/>
                <w:kern w:val="0"/>
                <w:sz w:val="22"/>
                <w:szCs w:val="22"/>
                <w:highlight w:val="none"/>
                <w:u w:val="none"/>
                <w:lang w:val="en-US" w:eastAsia="zh-CN" w:bidi="ar"/>
              </w:rPr>
              <w:t>（元）</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iCs w:val="0"/>
                <w:color w:val="auto"/>
                <w:kern w:val="0"/>
                <w:sz w:val="22"/>
                <w:szCs w:val="22"/>
                <w:highlight w:val="none"/>
                <w:u w:val="none"/>
                <w:lang w:val="en-US" w:eastAsia="zh-CN" w:bidi="ar"/>
              </w:rPr>
            </w:pPr>
            <w:r>
              <w:rPr>
                <w:rFonts w:hint="eastAsia" w:ascii="方正仿宋_GBK" w:hAnsi="方正仿宋_GBK" w:cs="方正仿宋_GBK"/>
                <w:b/>
                <w:bCs/>
                <w:i w:val="0"/>
                <w:iCs w:val="0"/>
                <w:color w:val="auto"/>
                <w:kern w:val="0"/>
                <w:sz w:val="22"/>
                <w:szCs w:val="22"/>
                <w:highlight w:val="none"/>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住院部1F进大门形象墙</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护士接待台尺寸1（小）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PVC透明胶片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3.47m×1.15m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375"/>
              </w:tabs>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护士接待台尺寸2（大）</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PVC透明胶片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8m×1.8m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护士接待台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1.5cm亚克力水晶字</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0.4m×0.2m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护理团队介绍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250mm×15mm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医生团队、科室介绍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2.8m×1.3m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护理团队+医生团队</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（专家介绍+科室介绍）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1.5cmPVC+亚克力（双层）</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3.5m×1.2m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2100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250mm×15mm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护士标兵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1cmPVC+亚克力（双层）</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800mm×900mm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270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150mm×210mm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健康教育</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宣传栏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制度牌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600mm×800mm×10mm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流程牌（大）</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流程牌（小）</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FICE图谱</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金属边框烤漆+有机片（可打开，更换内容）</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0.5PVC内容定期可更换</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700mm×900mm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业务介绍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1.8m×1m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通道文化墙装饰</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宣教电视墙</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2.4m×1.2m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护士站导视牌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1：镀锌板激光切割焊接造型氟碳喷涂+字丝印（双面）</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2：现场打炮钉固定</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1100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通道标识</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19</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通道吊牌（双面）</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电梯楼层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总导视牌（电梯外）</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1：镀锌板激光切割焊接造型氟碳喷涂（底板）厚度15mm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1cmPVC+亚克力（第二层）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内容做成卡槽，可更换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21</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楼梯总导视牌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1：镀锌板激光切割焊接造型氟碳喷涂（底板）厚度15mm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1cmPVC+亚克力（第二层）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内容做成卡槽，可更换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22</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通道导视牌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1840mm×390mm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1720mm×310mm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23</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科室门牌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1cm亚克力激光雕刻（双层）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亚克力卡槽，</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内容定期可更换，相片纸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160mm×250mm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病房门牌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1cm亚克力激光雕刻（双层）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亚克力卡槽，</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内容定期可更换，相片纸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160mm×250mm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洗手间吊牌</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800mm×350mm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高度：550mm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26</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洗手间门牌</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0.3m×0.25m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27</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卫生间公示牌+垃圾分类公示牌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28</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温馨提示牌</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禁止吸烟等</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300m×180m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29</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检查提示牌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600mm×340mm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w:t>
            </w:r>
          </w:p>
        </w:tc>
        <w:tc>
          <w:tcPr>
            <w:tcW w:w="192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值班表</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600mm×340mm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80mm×50mm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78mm×48mm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77</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31</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消防栓美化</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0.5cmPVC</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内容可更换</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650mm×800mm×60mm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32</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重症医学科标识</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铝型材边框+内置电源+UV软膜卡布灯箱片</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2000mm×550mm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33</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标牌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1.2cmPVC+亚克力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2000mm×600mm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34</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楼层号</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w:t>
            </w:r>
          </w:p>
        </w:tc>
        <w:tc>
          <w:tcPr>
            <w:tcW w:w="15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center"/>
              <w:textAlignment w:val="top"/>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240mm×200mm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cs="方正仿宋_GBK"/>
                <w:b w:val="0"/>
                <w:bCs w:val="0"/>
                <w:i w:val="0"/>
                <w:iCs w:val="0"/>
                <w:color w:val="auto"/>
                <w:kern w:val="0"/>
                <w:sz w:val="24"/>
                <w:szCs w:val="24"/>
                <w:highlight w:val="none"/>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35</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温馨提示牌</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（异形）</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5mm亚克力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500mm×400mm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cs="方正仿宋_GBK"/>
                <w:b w:val="0"/>
                <w:bCs w:val="0"/>
                <w:i w:val="0"/>
                <w:iCs w:val="0"/>
                <w:color w:val="auto"/>
                <w:kern w:val="0"/>
                <w:sz w:val="24"/>
                <w:szCs w:val="24"/>
                <w:highlight w:val="none"/>
                <w:u w:val="none"/>
                <w:lang w:val="en-US" w:eastAsia="zh-CN" w:bidi="ar"/>
              </w:rPr>
              <w:t>30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36</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消化内镜中心标牌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铝型材边框+内置电源+UV软膜卡布灯箱片</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2000mmx450mm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1350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37</w:t>
            </w:r>
          </w:p>
        </w:tc>
        <w:tc>
          <w:tcPr>
            <w:tcW w:w="1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地贴标识</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黑胶斜纹地贴</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1200mmx400mm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38</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党建文化展板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廉政文化展板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小家文化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（大尺寸）</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1.5cmPVC+亚克力(字）</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7.86mx1.4m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A4</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25</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0.21mx0.15m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104</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0.25mx0.15m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39</w:t>
            </w:r>
          </w:p>
        </w:tc>
        <w:tc>
          <w:tcPr>
            <w:tcW w:w="1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党建文化展板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廉政文化展板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小家文化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（小尺寸）</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1.5cmPVC+亚克力(底板）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1.5cmPVC+亚克力(字）</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4mx1.3m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A4</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0.21mx0.15m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16</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9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亚克力盒子+相片纸</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0.25mx0.15m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40</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党的权利+义务+宣誓词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局部加亚克力</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3000mmx1200mm</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4"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宣教室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放奖牌</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1.5cmPVC+亚克力</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15mm置物板</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1400mmx20mm(3个）</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置物格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800mmx20mm(3个）</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置物格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1300mmx600mm(广告字）</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800mmx300mm(广告字）</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800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67"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r>
              <w:rPr>
                <w:rFonts w:hint="eastAsia" w:ascii="方正仿宋_GBK" w:hAnsi="方正仿宋_GBK" w:cs="方正仿宋_GBK"/>
                <w:b w:val="0"/>
                <w:bCs w:val="0"/>
                <w:i w:val="0"/>
                <w:iCs w:val="0"/>
                <w:color w:val="auto"/>
                <w:kern w:val="0"/>
                <w:sz w:val="24"/>
                <w:szCs w:val="24"/>
                <w:highlight w:val="none"/>
                <w:u w:val="none"/>
                <w:lang w:val="en-US" w:eastAsia="zh-CN" w:bidi="ar"/>
              </w:rPr>
              <w:t>合计（元）</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p>
        </w:tc>
      </w:tr>
    </w:tbl>
    <w:p>
      <w:pPr>
        <w:pStyle w:val="2"/>
        <w:spacing w:line="520" w:lineRule="exact"/>
        <w:jc w:val="both"/>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        </w:t>
      </w:r>
    </w:p>
    <w:p>
      <w:pPr>
        <w:pStyle w:val="2"/>
        <w:spacing w:line="520" w:lineRule="exact"/>
        <w:ind w:firstLine="480" w:firstLineChars="200"/>
        <w:jc w:val="right"/>
        <w:rPr>
          <w:rFonts w:ascii="仿宋" w:hAnsi="仿宋" w:eastAsia="仿宋"/>
          <w:color w:val="auto"/>
          <w:sz w:val="24"/>
          <w:szCs w:val="28"/>
          <w:highlight w:val="none"/>
        </w:rPr>
        <w:sectPr>
          <w:headerReference r:id="rId7"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pPr>
        <w:spacing w:line="520" w:lineRule="exact"/>
        <w:ind w:firstLine="482" w:firstLineChars="200"/>
        <w:jc w:val="left"/>
        <w:outlineLvl w:val="1"/>
        <w:rPr>
          <w:rFonts w:ascii="方正仿宋_GBK" w:hAnsi="仿宋" w:eastAsia="仿宋" w:cs="仿宋"/>
          <w:b/>
          <w:bCs/>
          <w:color w:val="auto"/>
          <w:kern w:val="0"/>
          <w:szCs w:val="28"/>
          <w:highlight w:val="none"/>
        </w:rPr>
      </w:pPr>
      <w:bookmarkStart w:id="845" w:name="_Toc19311"/>
      <w:bookmarkStart w:id="846" w:name="_Toc24967"/>
      <w:bookmarkStart w:id="847" w:name="_Toc2481"/>
      <w:bookmarkStart w:id="848" w:name="_Toc14874"/>
      <w:r>
        <w:rPr>
          <w:rFonts w:hint="eastAsia" w:ascii="方正仿宋_GBK" w:hAnsi="仿宋" w:eastAsia="仿宋" w:cs="仿宋"/>
          <w:b/>
          <w:bCs/>
          <w:color w:val="auto"/>
          <w:kern w:val="0"/>
          <w:szCs w:val="28"/>
          <w:highlight w:val="none"/>
        </w:rPr>
        <w:t>二、服务部分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5"/>
      <w:bookmarkEnd w:id="846"/>
      <w:bookmarkEnd w:id="847"/>
      <w:bookmarkEnd w:id="848"/>
    </w:p>
    <w:p>
      <w:pPr>
        <w:spacing w:line="520" w:lineRule="exact"/>
        <w:ind w:firstLine="480" w:firstLineChars="200"/>
        <w:jc w:val="left"/>
        <w:rPr>
          <w:rFonts w:ascii="仿宋" w:hAnsi="仿宋" w:eastAsia="仿宋" w:cs="仿宋"/>
          <w:color w:val="auto"/>
          <w:szCs w:val="22"/>
          <w:highlight w:val="none"/>
        </w:rPr>
      </w:pPr>
      <w:r>
        <w:rPr>
          <w:rFonts w:hint="eastAsia" w:ascii="方正仿宋_GBK" w:hAnsi="仿宋" w:eastAsia="仿宋" w:cs="仿宋"/>
          <w:color w:val="auto"/>
          <w:kern w:val="0"/>
          <w:szCs w:val="28"/>
          <w:highlight w:val="none"/>
        </w:rPr>
        <w:t>（一）</w:t>
      </w:r>
      <w:bookmarkStart w:id="849" w:name="_Hlk84672559"/>
      <w:r>
        <w:rPr>
          <w:rFonts w:hint="eastAsia" w:ascii="仿宋" w:hAnsi="仿宋" w:eastAsia="仿宋" w:cs="仿宋"/>
          <w:color w:val="auto"/>
          <w:szCs w:val="22"/>
          <w:highlight w:val="none"/>
        </w:rPr>
        <w:t>服务响应差异表</w:t>
      </w:r>
      <w:bookmarkEnd w:id="849"/>
    </w:p>
    <w:p>
      <w:pPr>
        <w:pStyle w:val="2"/>
        <w:spacing w:line="520" w:lineRule="exact"/>
        <w:jc w:val="center"/>
        <w:rPr>
          <w:rFonts w:ascii="仿宋" w:hAnsi="仿宋" w:eastAsia="仿宋"/>
          <w:b/>
          <w:bCs/>
          <w:color w:val="auto"/>
          <w:sz w:val="28"/>
          <w:szCs w:val="28"/>
          <w:highlight w:val="none"/>
        </w:rPr>
      </w:pPr>
      <w:bookmarkStart w:id="850" w:name="_Hlk84947197"/>
      <w:r>
        <w:rPr>
          <w:rFonts w:hint="eastAsia" w:ascii="仿宋" w:hAnsi="仿宋" w:eastAsia="仿宋" w:cs="仿宋"/>
          <w:b/>
          <w:bCs/>
          <w:color w:val="auto"/>
          <w:sz w:val="28"/>
          <w:szCs w:val="28"/>
          <w:highlight w:val="none"/>
        </w:rPr>
        <w:t>服务响应差异表</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采购需求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响应应答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2"/>
        <w:ind w:firstLine="438"/>
        <w:rPr>
          <w:rFonts w:ascii="仿宋" w:hAnsi="仿宋" w:eastAsia="仿宋"/>
          <w:color w:val="auto"/>
          <w:sz w:val="24"/>
          <w:szCs w:val="28"/>
          <w:highlight w:val="none"/>
        </w:rPr>
      </w:pP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1.本表即为对本项目“第二篇  </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服务要求”中所列条款进行比较和响应，应逐条如实填写，“响应应答”中必须列出具体数值或内容。如供应商未应答或只注明“符合”、“满足”等类似无具体数值或内容的表述，视为不满足对应条款；</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2.该表必须按照磋商文件要求逐条如实填写，根据响应情况在“差异说明”项填写正偏离或负偏离及原因，完全符合的填写“无差异”；</w:t>
      </w:r>
    </w:p>
    <w:p>
      <w:pPr>
        <w:pStyle w:val="2"/>
        <w:spacing w:line="52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3.该表可扩展；</w:t>
      </w:r>
    </w:p>
    <w:p>
      <w:pPr>
        <w:pStyle w:val="2"/>
        <w:spacing w:line="520" w:lineRule="exact"/>
        <w:ind w:firstLine="480" w:firstLineChars="200"/>
        <w:rPr>
          <w:rFonts w:ascii="仿宋" w:hAnsi="仿宋" w:eastAsia="仿宋"/>
          <w:color w:val="auto"/>
          <w:sz w:val="24"/>
          <w:szCs w:val="28"/>
          <w:highlight w:val="none"/>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80" w:charSpace="-5735"/>
        </w:sectPr>
      </w:pPr>
      <w:r>
        <w:rPr>
          <w:rFonts w:hint="eastAsia" w:ascii="仿宋" w:hAnsi="仿宋" w:eastAsia="仿宋"/>
          <w:color w:val="auto"/>
          <w:sz w:val="24"/>
          <w:szCs w:val="28"/>
          <w:highlight w:val="none"/>
        </w:rPr>
        <w:t>4.可附相关技术支撑材料（格式自定）。</w:t>
      </w:r>
      <w:bookmarkEnd w:id="850"/>
    </w:p>
    <w:p>
      <w:pPr>
        <w:pStyle w:val="2"/>
        <w:rPr>
          <w:color w:val="auto"/>
          <w:highlight w:val="none"/>
        </w:rPr>
      </w:pPr>
    </w:p>
    <w:p>
      <w:pPr>
        <w:spacing w:line="520" w:lineRule="exact"/>
        <w:ind w:firstLine="438" w:firstLineChars="200"/>
        <w:jc w:val="left"/>
        <w:rPr>
          <w:rFonts w:ascii="方正仿宋_GBK" w:hAnsi="仿宋" w:eastAsia="仿宋" w:cs="仿宋"/>
          <w:color w:val="auto"/>
          <w:kern w:val="0"/>
          <w:szCs w:val="28"/>
          <w:highlight w:val="none"/>
        </w:rPr>
      </w:pPr>
      <w:bookmarkStart w:id="851" w:name="_Toc17866"/>
      <w:bookmarkStart w:id="852" w:name="_Toc10374"/>
      <w:bookmarkStart w:id="853" w:name="_Toc3263"/>
      <w:bookmarkStart w:id="854" w:name="_Toc6318"/>
      <w:bookmarkStart w:id="855" w:name="_Toc48837335"/>
      <w:bookmarkStart w:id="856" w:name="_Toc6021"/>
      <w:bookmarkStart w:id="857" w:name="_Toc7869"/>
      <w:bookmarkStart w:id="858" w:name="_Toc18917"/>
      <w:bookmarkStart w:id="859" w:name="_Toc2927"/>
      <w:bookmarkStart w:id="860" w:name="_Toc9672"/>
      <w:bookmarkStart w:id="861" w:name="_Toc28468"/>
      <w:bookmarkStart w:id="862" w:name="_Toc32692"/>
      <w:bookmarkStart w:id="863" w:name="_Toc21013"/>
      <w:bookmarkStart w:id="864" w:name="_Toc27019"/>
      <w:bookmarkStart w:id="865" w:name="_Toc5162"/>
      <w:bookmarkStart w:id="866" w:name="_Toc8882"/>
      <w:bookmarkStart w:id="867" w:name="_Toc14898"/>
      <w:bookmarkStart w:id="868" w:name="_Toc16645"/>
      <w:bookmarkStart w:id="869" w:name="_Toc14724"/>
      <w:bookmarkStart w:id="870" w:name="_Toc31094"/>
      <w:bookmarkStart w:id="871" w:name="_Toc12560"/>
      <w:bookmarkStart w:id="872" w:name="_Toc32284"/>
      <w:bookmarkStart w:id="873" w:name="_Toc15183"/>
      <w:r>
        <w:rPr>
          <w:rFonts w:hint="eastAsia" w:ascii="方正仿宋_GBK" w:hAnsi="仿宋" w:eastAsia="仿宋" w:cs="仿宋"/>
          <w:color w:val="auto"/>
          <w:kern w:val="0"/>
          <w:szCs w:val="28"/>
          <w:highlight w:val="none"/>
        </w:rPr>
        <w:t>（二）竞争性磋商文件第二篇所需方案或证明材料（如果有）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（三）竞争性磋商文件第四篇评审标准“服务部分”所要求的方案或证明材料</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color w:val="auto"/>
          <w:highlight w:val="none"/>
        </w:rPr>
      </w:pPr>
      <w:r>
        <w:rPr>
          <w:rFonts w:hint="eastAsia" w:ascii="方正仿宋_GBK" w:hAnsi="仿宋" w:eastAsia="仿宋" w:cs="仿宋"/>
          <w:color w:val="auto"/>
          <w:kern w:val="0"/>
          <w:szCs w:val="28"/>
          <w:highlight w:val="none"/>
        </w:rPr>
        <w:t>（四）其他响应竞争性磋商文件提供的服务文件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outlineLvl w:val="1"/>
        <w:rPr>
          <w:rFonts w:ascii="方正仿宋_GBK" w:hAnsi="仿宋" w:eastAsia="仿宋" w:cs="仿宋"/>
          <w:b/>
          <w:bCs/>
          <w:color w:val="auto"/>
          <w:kern w:val="0"/>
          <w:szCs w:val="28"/>
          <w:highlight w:val="none"/>
        </w:rPr>
      </w:pPr>
      <w:bookmarkStart w:id="874" w:name="_Toc7024"/>
      <w:bookmarkStart w:id="875" w:name="_Toc20599"/>
      <w:bookmarkStart w:id="876" w:name="_Toc20336"/>
      <w:bookmarkStart w:id="877" w:name="_Toc29386"/>
      <w:r>
        <w:rPr>
          <w:rFonts w:hint="eastAsia" w:ascii="方正仿宋_GBK" w:hAnsi="仿宋" w:eastAsia="仿宋" w:cs="仿宋"/>
          <w:b/>
          <w:bCs/>
          <w:color w:val="auto"/>
          <w:kern w:val="0"/>
          <w:szCs w:val="28"/>
          <w:highlight w:val="none"/>
        </w:rPr>
        <w:t>三、商务部分</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2"/>
        <w:spacing w:line="520" w:lineRule="exact"/>
        <w:ind w:firstLine="318" w:firstLineChars="200"/>
        <w:rPr>
          <w:rFonts w:ascii="仿宋" w:hAnsi="仿宋" w:eastAsia="仿宋"/>
          <w:color w:val="auto"/>
          <w:sz w:val="24"/>
          <w:szCs w:val="28"/>
          <w:highlight w:val="none"/>
        </w:rPr>
      </w:pPr>
      <w:r>
        <w:rPr>
          <w:rFonts w:hint="eastAsia" w:ascii="方正仿宋_GBK" w:hAnsi="仿宋" w:eastAsia="仿宋" w:cs="仿宋"/>
          <w:color w:val="auto"/>
          <w:kern w:val="0"/>
          <w:szCs w:val="28"/>
          <w:highlight w:val="none"/>
        </w:rPr>
        <w:t>（一）</w:t>
      </w:r>
      <w:r>
        <w:rPr>
          <w:rFonts w:hint="eastAsia" w:ascii="仿宋" w:hAnsi="仿宋" w:eastAsia="仿宋"/>
          <w:color w:val="auto"/>
          <w:sz w:val="24"/>
          <w:szCs w:val="28"/>
          <w:highlight w:val="none"/>
        </w:rPr>
        <w:t>商务响应差异表</w:t>
      </w:r>
    </w:p>
    <w:p>
      <w:pPr>
        <w:pStyle w:val="2"/>
        <w:spacing w:line="520" w:lineRule="exact"/>
        <w:jc w:val="center"/>
        <w:rPr>
          <w:rFonts w:ascii="仿宋" w:hAnsi="仿宋" w:eastAsia="仿宋"/>
          <w:b/>
          <w:bCs/>
          <w:color w:val="auto"/>
          <w:sz w:val="28"/>
          <w:szCs w:val="28"/>
          <w:highlight w:val="none"/>
        </w:rPr>
      </w:pPr>
      <w:bookmarkStart w:id="878" w:name="_Hlk84947424"/>
      <w:r>
        <w:rPr>
          <w:rFonts w:hint="eastAsia" w:ascii="仿宋" w:hAnsi="仿宋" w:eastAsia="仿宋"/>
          <w:b/>
          <w:bCs/>
          <w:color w:val="auto"/>
          <w:sz w:val="28"/>
          <w:szCs w:val="28"/>
          <w:highlight w:val="none"/>
        </w:rPr>
        <w:t>商务响应差异表</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2"/>
        <w:spacing w:line="520" w:lineRule="exact"/>
        <w:ind w:firstLine="438" w:firstLineChars="200"/>
        <w:rPr>
          <w:rFonts w:ascii="仿宋" w:hAnsi="仿宋" w:eastAsia="仿宋"/>
          <w:color w:val="auto"/>
          <w:sz w:val="24"/>
          <w:szCs w:val="28"/>
          <w:highlight w:val="none"/>
        </w:rPr>
      </w:pP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1.本表即为对本项目“第三篇 </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商务要求”中所列条款进行比较和响应，应逐条如实填写，“商务应答”中必须列出具体数值或内容。如供应商未应答或只注明“符合”、“满足”等类似无具体数值或内容的表述，视为不满足相应条款；</w:t>
      </w:r>
    </w:p>
    <w:p>
      <w:pPr>
        <w:pStyle w:val="2"/>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2.该表必须按照磋商文件要求逐条如实填写，根据响应情况在“差异说明”项填写正偏离或负偏离及原因，完全符合的填写“无差异”；</w:t>
      </w:r>
    </w:p>
    <w:p>
      <w:pPr>
        <w:pStyle w:val="2"/>
        <w:spacing w:line="520" w:lineRule="exact"/>
        <w:ind w:firstLine="438" w:firstLineChars="200"/>
        <w:rPr>
          <w:rFonts w:ascii="方正仿宋_GBK" w:hAnsi="方正仿宋_GBK" w:eastAsia="仿宋" w:cs="方正仿宋_GBK"/>
          <w:color w:val="auto"/>
          <w:sz w:val="32"/>
          <w:szCs w:val="32"/>
          <w:highlight w:val="none"/>
        </w:rPr>
      </w:pPr>
      <w:r>
        <w:rPr>
          <w:rFonts w:hint="eastAsia" w:ascii="仿宋" w:hAnsi="仿宋" w:eastAsia="仿宋"/>
          <w:color w:val="auto"/>
          <w:sz w:val="24"/>
          <w:szCs w:val="28"/>
          <w:highlight w:val="none"/>
        </w:rPr>
        <w:t>3.该表可扩展。</w:t>
      </w:r>
      <w:bookmarkEnd w:id="878"/>
      <w:r>
        <w:rPr>
          <w:rFonts w:hint="eastAsia" w:ascii="仿宋" w:hAnsi="仿宋" w:eastAsia="仿宋"/>
          <w:color w:val="auto"/>
          <w:sz w:val="24"/>
          <w:szCs w:val="28"/>
          <w:highlight w:val="none"/>
        </w:rPr>
        <w:br w:type="page"/>
      </w:r>
      <w:bookmarkStart w:id="879" w:name="_Toc452628354"/>
      <w:bookmarkStart w:id="880" w:name="_Toc5897"/>
      <w:bookmarkStart w:id="881" w:name="_Toc15373"/>
    </w:p>
    <w:p>
      <w:pPr>
        <w:spacing w:line="520" w:lineRule="exact"/>
        <w:ind w:firstLine="438" w:firstLineChars="200"/>
        <w:jc w:val="left"/>
        <w:rPr>
          <w:rFonts w:ascii="方正仿宋_GBK" w:hAnsi="仿宋" w:eastAsia="仿宋" w:cs="仿宋"/>
          <w:color w:val="auto"/>
          <w:kern w:val="0"/>
          <w:szCs w:val="28"/>
          <w:highlight w:val="none"/>
        </w:rPr>
      </w:pPr>
      <w:bookmarkStart w:id="882" w:name="_Toc13377"/>
      <w:bookmarkStart w:id="883" w:name="_Toc1566"/>
      <w:bookmarkStart w:id="884" w:name="_Toc19720"/>
      <w:bookmarkStart w:id="885" w:name="_Toc14442"/>
      <w:bookmarkStart w:id="886" w:name="_Toc28265"/>
      <w:bookmarkStart w:id="887" w:name="_Toc48837336"/>
      <w:bookmarkStart w:id="888" w:name="_Toc27078"/>
      <w:bookmarkStart w:id="889" w:name="_Toc7378"/>
      <w:bookmarkStart w:id="890" w:name="_Toc32354"/>
      <w:bookmarkStart w:id="891" w:name="_Toc28744"/>
      <w:bookmarkStart w:id="892" w:name="_Toc15642"/>
      <w:bookmarkStart w:id="893" w:name="_Toc12077"/>
      <w:bookmarkStart w:id="894" w:name="_Toc7089"/>
      <w:bookmarkStart w:id="895" w:name="_Toc27026"/>
      <w:bookmarkStart w:id="896" w:name="_Toc26260"/>
      <w:bookmarkStart w:id="897" w:name="_Toc19323"/>
      <w:bookmarkStart w:id="898" w:name="_Toc21874"/>
      <w:bookmarkStart w:id="899" w:name="_Toc2377"/>
      <w:bookmarkStart w:id="900" w:name="_Toc21604"/>
      <w:bookmarkStart w:id="901" w:name="_Toc10702"/>
      <w:bookmarkStart w:id="902" w:name="_Toc4344"/>
      <w:bookmarkStart w:id="903" w:name="_Toc32724"/>
      <w:r>
        <w:rPr>
          <w:rFonts w:hint="eastAsia" w:ascii="方正仿宋_GBK" w:hAnsi="仿宋" w:eastAsia="仿宋" w:cs="仿宋"/>
          <w:color w:val="auto"/>
          <w:kern w:val="0"/>
          <w:szCs w:val="28"/>
          <w:highlight w:val="none"/>
        </w:rPr>
        <w:t>（二）竞争性磋商文件第三篇所需证明材料（如果有）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（三）竞争性磋商文件第四篇评审标准“商务部分”所要求的证明材料</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（四）其他响应竞争性磋商文件提供的商务文件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pStyle w:val="15"/>
        <w:rPr>
          <w:rFonts w:ascii="方正仿宋_GBK" w:hAnsi="仿宋" w:eastAsia="仿宋" w:cs="仿宋"/>
          <w:b/>
          <w:bCs/>
          <w:color w:val="auto"/>
          <w:kern w:val="0"/>
          <w:szCs w:val="28"/>
          <w:highlight w:val="none"/>
        </w:rPr>
      </w:pPr>
    </w:p>
    <w:p>
      <w:pPr>
        <w:pStyle w:val="15"/>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bookmarkEnd w:id="84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Pr>
        <w:spacing w:line="520" w:lineRule="exact"/>
        <w:ind w:firstLine="438" w:firstLineChars="200"/>
        <w:jc w:val="left"/>
        <w:outlineLvl w:val="1"/>
        <w:rPr>
          <w:rFonts w:eastAsia="仿宋" w:cs="宋体"/>
          <w:b/>
          <w:bCs/>
          <w:color w:val="auto"/>
          <w:szCs w:val="28"/>
          <w:highlight w:val="none"/>
        </w:rPr>
      </w:pPr>
      <w:bookmarkStart w:id="904" w:name="_Toc32670"/>
      <w:bookmarkStart w:id="905" w:name="_Toc29856"/>
      <w:bookmarkStart w:id="906" w:name="_Toc14854"/>
      <w:bookmarkStart w:id="907" w:name="_Toc32365"/>
      <w:bookmarkStart w:id="908" w:name="_Toc30432"/>
      <w:bookmarkStart w:id="909" w:name="_Toc19505"/>
      <w:bookmarkStart w:id="910" w:name="_Toc11174"/>
      <w:bookmarkStart w:id="911" w:name="_Toc2341"/>
      <w:bookmarkStart w:id="912" w:name="_Toc15684"/>
      <w:bookmarkStart w:id="913" w:name="_Toc31468"/>
      <w:bookmarkStart w:id="914" w:name="_Toc12843"/>
      <w:bookmarkStart w:id="915" w:name="_Toc23698"/>
      <w:bookmarkStart w:id="916" w:name="_Toc11151"/>
      <w:bookmarkStart w:id="917" w:name="_Toc17557"/>
      <w:bookmarkStart w:id="918" w:name="_Toc20650"/>
      <w:bookmarkStart w:id="919" w:name="_Toc20178"/>
      <w:bookmarkStart w:id="920" w:name="_Toc31133"/>
      <w:bookmarkStart w:id="921" w:name="_Toc5958"/>
      <w:bookmarkStart w:id="922" w:name="_Toc31017"/>
      <w:bookmarkStart w:id="923" w:name="_Toc7106"/>
      <w:bookmarkStart w:id="924" w:name="_Toc14575"/>
      <w:bookmarkStart w:id="925" w:name="_Toc18123"/>
      <w:bookmarkStart w:id="926" w:name="_Toc12867"/>
      <w:bookmarkStart w:id="927" w:name="_Toc1595"/>
      <w:bookmarkStart w:id="928" w:name="_Toc31891"/>
      <w:bookmarkStart w:id="929" w:name="_Toc2766"/>
      <w:bookmarkStart w:id="930" w:name="_Toc48837337"/>
      <w:r>
        <w:rPr>
          <w:rFonts w:hint="eastAsia" w:eastAsia="仿宋" w:cs="宋体"/>
          <w:b/>
          <w:bCs/>
          <w:color w:val="auto"/>
          <w:szCs w:val="28"/>
          <w:highlight w:val="none"/>
          <w:lang w:eastAsia="zh-CN"/>
        </w:rPr>
        <w:t>四</w:t>
      </w:r>
      <w:r>
        <w:rPr>
          <w:rFonts w:hint="eastAsia" w:eastAsia="仿宋" w:cs="宋体"/>
          <w:b/>
          <w:bCs/>
          <w:color w:val="auto"/>
          <w:szCs w:val="28"/>
          <w:highlight w:val="none"/>
        </w:rPr>
        <w:t>、资格文件</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宋体" w:hAnsi="宋体" w:eastAsia="仿宋"/>
          <w:bCs/>
          <w:color w:val="auto"/>
          <w:highlight w:val="none"/>
        </w:rPr>
      </w:pPr>
      <w:r>
        <w:rPr>
          <w:rFonts w:hint="eastAsia" w:ascii="方正仿宋_GBK" w:hAnsi="仿宋" w:eastAsia="仿宋" w:cs="仿宋"/>
          <w:color w:val="auto"/>
          <w:kern w:val="0"/>
          <w:szCs w:val="28"/>
          <w:highlight w:val="none"/>
        </w:rPr>
        <w:t>（一）</w:t>
      </w:r>
      <w:bookmarkStart w:id="931" w:name="_Hlk84948558"/>
      <w:r>
        <w:rPr>
          <w:rFonts w:hint="eastAsia" w:ascii="方正仿宋_GBK" w:hAnsi="仿宋" w:eastAsia="仿宋" w:cs="仿宋"/>
          <w:color w:val="auto"/>
          <w:kern w:val="0"/>
          <w:szCs w:val="28"/>
          <w:highlight w:val="none"/>
        </w:rPr>
        <w:t>法人营业执照（副本）或事业单位法人证书（副本）或个体工商户营业执照或有效的自然人身份证明或社会团体法人登记证书复印件</w:t>
      </w:r>
      <w:bookmarkEnd w:id="931"/>
      <w:r>
        <w:rPr>
          <w:rFonts w:ascii="宋体" w:hAnsi="宋体" w:eastAsia="仿宋"/>
          <w:bCs/>
          <w:color w:val="auto"/>
          <w:highlight w:val="none"/>
        </w:rPr>
        <w:br w:type="page"/>
      </w:r>
    </w:p>
    <w:p>
      <w:pPr>
        <w:jc w:val="center"/>
        <w:rPr>
          <w:rFonts w:hint="eastAsia" w:ascii="仿宋" w:hAnsi="仿宋" w:eastAsia="仿宋" w:cs="仿宋"/>
          <w:color w:val="auto"/>
          <w:sz w:val="28"/>
          <w:szCs w:val="28"/>
          <w:highlight w:val="none"/>
        </w:rPr>
      </w:pPr>
      <w:bookmarkStart w:id="932" w:name="_Hlk84948823"/>
      <w:bookmarkStart w:id="933" w:name="_Hlk84948793"/>
      <w:r>
        <w:rPr>
          <w:rFonts w:hint="eastAsia" w:ascii="仿宋" w:hAnsi="仿宋" w:eastAsia="仿宋" w:cs="仿宋"/>
          <w:color w:val="auto"/>
          <w:sz w:val="28"/>
          <w:szCs w:val="28"/>
          <w:highlight w:val="none"/>
        </w:rPr>
        <w:t>（二）法定代表人身份证明书（格式）</w:t>
      </w:r>
    </w:p>
    <w:p>
      <w:pPr>
        <w:ind w:firstLine="438"/>
        <w:rPr>
          <w:rFonts w:hint="eastAsia" w:ascii="仿宋" w:hAnsi="仿宋" w:eastAsia="仿宋" w:cs="仿宋"/>
          <w:color w:val="auto"/>
          <w:szCs w:val="22"/>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（采购代理机构名称）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（法定代表人姓名）在</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（供应商名称）任</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（职务名称）职务，是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特此证明。</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5475" w:firstLineChars="25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（供应商公章）</w:t>
      </w:r>
    </w:p>
    <w:p>
      <w:pPr>
        <w:spacing w:line="520" w:lineRule="exact"/>
        <w:ind w:firstLine="5585" w:firstLineChars="255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 xml:space="preserve">年   月   日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bookmarkStart w:id="934" w:name="_Hlk84948705"/>
      <w:r>
        <w:rPr>
          <w:rFonts w:hint="eastAsia" w:ascii="方正仿宋_GBK" w:hAnsi="仿宋" w:eastAsia="仿宋" w:cs="仿宋"/>
          <w:color w:val="auto"/>
          <w:kern w:val="0"/>
          <w:szCs w:val="28"/>
          <w:highlight w:val="none"/>
        </w:rPr>
        <w:t>法定代表人电话：XXXXXXX      电子邮箱：XXXXXX@XXXXX（若授权他人办理并签署响应文件的可不填写）</w:t>
      </w:r>
      <w:bookmarkEnd w:id="934"/>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（附：法定代表人身份证</w:t>
      </w:r>
      <w:r>
        <w:rPr>
          <w:rFonts w:hint="eastAsia" w:ascii="方正仿宋_GBK" w:hAnsi="仿宋" w:eastAsia="方正仿宋_GBK"/>
          <w:sz w:val="24"/>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br w:type="page"/>
      </w:r>
    </w:p>
    <w:bookmarkEnd w:id="932"/>
    <w:bookmarkEnd w:id="933"/>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（三）法定代表人授权委托书（格式）</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（采购代理机构名称）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（供应商法定代表人名称）是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（供应商名称）的法定代表人，特授权</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（被授权人姓名及身份证代码）代表我单位全权办理上述项目的响应、谈判、签约等具体工作，并签署全部有关文件、协议及合同。</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我单位对被授权人的签署负全部责任。</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在撤消授权的书面通知以前，本授权书一直有效。被授权人在授权书有效期内签署的所有文件不因授权的撤消而失效。</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供应商法定代表人：</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（签署或盖章）</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（签署或盖章）</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（供应商公章）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年   月   日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w:t>
      </w:r>
      <w:bookmarkStart w:id="935" w:name="_Hlk69975477"/>
      <w:r>
        <w:rPr>
          <w:rFonts w:hint="eastAsia" w:ascii="方正仿宋_GBK" w:hAnsi="仿宋" w:eastAsia="仿宋" w:cs="仿宋"/>
          <w:color w:val="auto"/>
          <w:kern w:val="0"/>
          <w:szCs w:val="28"/>
          <w:highlight w:val="none"/>
        </w:rPr>
        <w:t>被授权人</w:t>
      </w:r>
      <w:bookmarkEnd w:id="935"/>
      <w:r>
        <w:rPr>
          <w:rFonts w:hint="eastAsia" w:ascii="方正仿宋_GBK" w:hAnsi="仿宋" w:eastAsia="仿宋" w:cs="仿宋"/>
          <w:color w:val="auto"/>
          <w:kern w:val="0"/>
          <w:szCs w:val="28"/>
          <w:highlight w:val="none"/>
        </w:rPr>
        <w:t>身份证</w:t>
      </w:r>
      <w:r>
        <w:rPr>
          <w:rFonts w:hint="eastAsia" w:ascii="方正仿宋_GBK" w:hAnsi="仿宋" w:eastAsia="方正仿宋_GBK"/>
          <w:sz w:val="24"/>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被授权人电话：XXXXXXX     电子邮箱：XXXXXX@XXXXX（若法定代表人办理并签署响应文件的可不填写）</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注：</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1.若为法定代表人办理并签署响应文件的，不提供此文件。</w:t>
      </w:r>
    </w:p>
    <w:p>
      <w:pPr>
        <w:tabs>
          <w:tab w:val="left" w:pos="6300"/>
        </w:tabs>
        <w:snapToGrid w:val="0"/>
        <w:spacing w:line="500" w:lineRule="exact"/>
        <w:ind w:firstLine="438" w:firstLineChars="200"/>
        <w:rPr>
          <w:rFonts w:hint="eastAsia" w:ascii="方正仿宋_GBK" w:hAnsi="宋体" w:eastAsia="方正仿宋_GBK"/>
          <w:color w:val="auto"/>
          <w:sz w:val="24"/>
          <w:szCs w:val="24"/>
          <w:highlight w:val="none"/>
        </w:rPr>
      </w:pPr>
      <w:r>
        <w:rPr>
          <w:rFonts w:hint="eastAsia" w:ascii="方正仿宋_GBK" w:hAnsi="仿宋" w:eastAsia="仿宋" w:cs="仿宋"/>
          <w:color w:val="auto"/>
          <w:kern w:val="0"/>
          <w:szCs w:val="28"/>
          <w:highlight w:val="none"/>
        </w:rPr>
        <w:t>2.若为联合体的，法定代表人授权委托书由联合体主办方（主体）出具。</w:t>
      </w:r>
      <w:r>
        <w:rPr>
          <w:rFonts w:hint="eastAsia" w:ascii="方正仿宋_GBK" w:hAnsi="仿宋" w:eastAsia="仿宋" w:cs="仿宋"/>
          <w:color w:val="auto"/>
          <w:kern w:val="0"/>
          <w:szCs w:val="28"/>
          <w:highlight w:val="none"/>
        </w:rPr>
        <w:br w:type="column"/>
      </w:r>
      <w:r>
        <w:rPr>
          <w:rFonts w:hint="eastAsia" w:ascii="仿宋" w:hAnsi="仿宋" w:eastAsia="仿宋" w:cs="仿宋"/>
          <w:color w:val="auto"/>
          <w:szCs w:val="24"/>
          <w:highlight w:val="none"/>
        </w:rPr>
        <w:t>（四）基本资格条件承诺函</w:t>
      </w:r>
    </w:p>
    <w:p>
      <w:pPr>
        <w:tabs>
          <w:tab w:val="left" w:pos="6300"/>
        </w:tabs>
        <w:snapToGrid w:val="0"/>
        <w:spacing w:line="500" w:lineRule="exact"/>
        <w:ind w:firstLine="598"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致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（采购代理机构名称）：</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（供应商名称）郑重承诺：</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1.我方具有良好的商业信誉和健全的财务会计制度，具有履行合同所必需的设备和专业技术能力，具</w:t>
      </w:r>
      <w:r>
        <w:rPr>
          <w:rFonts w:hint="eastAsia" w:ascii="仿宋" w:hAnsi="仿宋" w:eastAsia="仿宋" w:cs="仿宋"/>
          <w:color w:val="auto"/>
          <w:szCs w:val="24"/>
          <w:highlight w:val="none"/>
          <w:lang w:val="zh-CN"/>
        </w:rPr>
        <w:t>有依法缴纳税收和社会保障金的良好记录</w:t>
      </w:r>
      <w:r>
        <w:rPr>
          <w:rFonts w:hint="eastAsia" w:ascii="仿宋" w:hAnsi="仿宋" w:eastAsia="仿宋" w:cs="仿宋"/>
          <w:color w:val="auto"/>
          <w:szCs w:val="24"/>
          <w:highlight w:val="none"/>
        </w:rPr>
        <w:t>，参加本项目采购活动前三年内无重大违法活动记录。</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3.我方在采购项目评审（评标）环节结束后，随时接受采购人、采购代理机构的检查验证，配合提供相关证明材料，证明符合《中华人民共和国政府采购法》规定的供应商基本资格条件。</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我方对以上承诺负全部法律责任。</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特此承诺。</w:t>
      </w:r>
    </w:p>
    <w:p>
      <w:pPr>
        <w:spacing w:line="520" w:lineRule="exact"/>
        <w:ind w:firstLine="438" w:firstLineChars="200"/>
        <w:rPr>
          <w:rFonts w:hint="eastAsia" w:ascii="仿宋" w:hAnsi="仿宋" w:eastAsia="仿宋" w:cs="仿宋"/>
          <w:color w:val="auto"/>
          <w:szCs w:val="24"/>
          <w:highlight w:val="none"/>
        </w:rPr>
      </w:pPr>
    </w:p>
    <w:p>
      <w:pPr>
        <w:spacing w:line="520" w:lineRule="exact"/>
        <w:ind w:firstLine="438"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（供应商公章）</w:t>
      </w:r>
    </w:p>
    <w:p>
      <w:pPr>
        <w:spacing w:line="520" w:lineRule="exact"/>
        <w:jc w:val="both"/>
        <w:rPr>
          <w:rFonts w:hint="eastAsia" w:ascii="仿宋" w:hAnsi="仿宋" w:eastAsia="仿宋" w:cs="仿宋"/>
          <w:color w:val="auto"/>
          <w:szCs w:val="24"/>
          <w:highlight w:val="none"/>
        </w:rPr>
      </w:pPr>
    </w:p>
    <w:p>
      <w:pPr>
        <w:spacing w:line="520" w:lineRule="exact"/>
        <w:ind w:firstLine="6570" w:firstLineChars="30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年   月   日</w:t>
      </w:r>
    </w:p>
    <w:p>
      <w:pPr>
        <w:spacing w:line="520" w:lineRule="exact"/>
        <w:ind w:firstLine="6570" w:firstLineChars="3000"/>
        <w:rPr>
          <w:rFonts w:ascii="仿宋" w:hAnsi="仿宋" w:eastAsia="仿宋" w:cs="仿宋"/>
          <w:color w:val="auto"/>
          <w:szCs w:val="24"/>
          <w:highlight w:val="none"/>
        </w:rPr>
      </w:pPr>
    </w:p>
    <w:p>
      <w:pPr>
        <w:spacing w:line="520" w:lineRule="exact"/>
        <w:ind w:firstLine="438" w:firstLineChars="200"/>
        <w:jc w:val="right"/>
        <w:rPr>
          <w:rFonts w:hint="eastAsia"/>
          <w:color w:val="auto"/>
          <w:highlight w:val="none"/>
        </w:rPr>
      </w:pPr>
      <w:r>
        <w:rPr>
          <w:rFonts w:hint="eastAsia" w:ascii="仿宋" w:hAnsi="仿宋" w:eastAsia="仿宋" w:cs="仿宋"/>
          <w:color w:val="auto"/>
          <w:szCs w:val="24"/>
          <w:highlight w:val="none"/>
        </w:rPr>
        <w:br w:type="page"/>
      </w:r>
      <w:bookmarkStart w:id="936" w:name="_Hlk84948932"/>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20" w:lineRule="exact"/>
        <w:ind w:firstLine="438" w:firstLineChars="200"/>
        <w:jc w:val="left"/>
        <w:textAlignment w:val="auto"/>
        <w:outlineLvl w:val="9"/>
        <w:rPr>
          <w:color w:val="auto"/>
          <w:highlight w:val="none"/>
        </w:rPr>
      </w:pPr>
      <w:r>
        <w:rPr>
          <w:rFonts w:hint="eastAsia"/>
          <w:color w:val="auto"/>
          <w:highlight w:val="none"/>
        </w:rPr>
        <w:t>（</w:t>
      </w:r>
      <w:r>
        <w:rPr>
          <w:rFonts w:hint="eastAsia"/>
          <w:color w:val="auto"/>
          <w:highlight w:val="none"/>
          <w:lang w:eastAsia="zh-CN"/>
        </w:rPr>
        <w:t>五</w:t>
      </w:r>
      <w:r>
        <w:rPr>
          <w:rFonts w:hint="eastAsia"/>
          <w:color w:val="auto"/>
          <w:highlight w:val="none"/>
        </w:rPr>
        <w:t>）特定资格条件证书或证明文件：</w:t>
      </w:r>
    </w:p>
    <w:p>
      <w:pPr>
        <w:pStyle w:val="23"/>
        <w:rPr>
          <w:rFonts w:hint="eastAsia"/>
          <w:color w:val="auto"/>
          <w:highlight w:val="none"/>
        </w:rPr>
      </w:pPr>
    </w:p>
    <w:bookmarkEnd w:id="936"/>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说明：供应商按“多证合一”登记制度办理营业执照的，税务登记证（副本）和社会保险登记证以供应商所提供的法人营业执照（副本）复印件为准。</w:t>
      </w: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p>
    <w:p>
      <w:pPr>
        <w:tabs>
          <w:tab w:val="left" w:pos="6300"/>
        </w:tabs>
        <w:snapToGrid w:val="0"/>
        <w:spacing w:line="520" w:lineRule="exact"/>
        <w:ind w:firstLine="438" w:firstLineChars="200"/>
        <w:jc w:val="right"/>
        <w:rPr>
          <w:rFonts w:eastAsia="仿宋"/>
          <w:color w:val="auto"/>
          <w:highlight w:val="none"/>
        </w:rPr>
      </w:pPr>
    </w:p>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eastAsia="仿宋"/>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2</w:t>
                          </w:r>
                          <w:r>
                            <w:rPr>
                              <w:rFonts w:hint="eastAsia" w:eastAsia="仿宋"/>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NS1MwBAACn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Y1LUzAEAAKcDAAAOAAAAAAAAAAEAIAAAAB4BAABkcnMvZTJv&#10;RG9jLnhtbFBLBQYAAAAABgAGAFkBAABcBQAAAAA=&#10;">
              <v:fill on="f" focussize="0,0"/>
              <v:stroke on="f"/>
              <v:imagedata o:title=""/>
              <o:lock v:ext="edit" aspectratio="f"/>
              <v:textbox inset="0mm,0mm,0mm,0mm" style="mso-fit-shape-to-text:t;">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2</w:t>
                    </w:r>
                    <w:r>
                      <w:rPr>
                        <w:rFonts w:hint="eastAsia" w:eastAsia="仿宋"/>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SmT80BAACoAwAADgAAAGRycy9lMm9Eb2MueG1srVPNjtMwEL4j8Q6W&#10;7zRpE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fJl&#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YSmT80BAACoAwAADgAAAAAAAAABACAAAAAeAQAAZHJzL2Uy&#10;b0RvYy54bWxQSwUGAAAAAAYABgBZAQAAX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方正仿宋_GBK" w:hAnsi="方正仿宋_GBK" w:eastAsia="仿宋" w:cs="方正仿宋_GBK"/>
        <w:sz w:val="21"/>
        <w:szCs w:val="21"/>
      </w:rPr>
    </w:pPr>
    <w:r>
      <w:rPr>
        <w:rFonts w:hint="eastAsia" w:ascii="方正仿宋_GBK" w:hAnsi="方正仿宋_GBK" w:eastAsia="仿宋" w:cs="方正仿宋_GBK"/>
        <w:sz w:val="21"/>
        <w:szCs w:val="21"/>
      </w:rPr>
      <w:t>重庆市巴南区</w:t>
    </w:r>
    <w:r>
      <w:rPr>
        <w:rFonts w:hint="eastAsia" w:ascii="方正仿宋_GBK" w:hAnsi="方正仿宋_GBK" w:eastAsia="仿宋" w:cs="方正仿宋_GBK"/>
        <w:sz w:val="21"/>
        <w:szCs w:val="21"/>
        <w:lang w:eastAsia="zh-CN"/>
      </w:rPr>
      <w:t>第二人民医院</w:t>
    </w:r>
    <w:r>
      <w:rPr>
        <w:rFonts w:hint="eastAsia" w:ascii="方正仿宋_GBK" w:hAnsi="方正仿宋_GBK" w:eastAsia="仿宋" w:cs="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05" w:firstLineChars="50"/>
      <w:jc w:val="both"/>
      <w:rPr>
        <w:rFonts w:ascii="仿宋" w:hAnsi="仿宋" w:eastAsia="仿宋" w:cs="仿宋"/>
      </w:rPr>
    </w:pPr>
    <w:r>
      <w:rPr>
        <w:rFonts w:hint="eastAsia" w:ascii="仿宋" w:hAnsi="仿宋" w:eastAsia="仿宋" w:cs="仿宋"/>
        <w:sz w:val="21"/>
        <w:szCs w:val="21"/>
      </w:rPr>
      <w:t>重庆市巴南区</w:t>
    </w:r>
    <w:r>
      <w:rPr>
        <w:rFonts w:hint="eastAsia" w:ascii="仿宋" w:hAnsi="仿宋" w:eastAsia="仿宋" w:cs="仿宋"/>
        <w:sz w:val="21"/>
        <w:szCs w:val="21"/>
        <w:lang w:eastAsia="zh-CN"/>
      </w:rPr>
      <w:t>第二人民医院</w:t>
    </w:r>
    <w:r>
      <w:rPr>
        <w:rFonts w:hint="eastAsia" w:ascii="仿宋" w:hAnsi="仿宋" w:eastAsia="仿宋" w:cs="仿宋"/>
        <w:sz w:val="21"/>
        <w:szCs w:val="21"/>
      </w:rPr>
      <w:t xml:space="preserve">                                                 </w:t>
    </w:r>
    <w:r>
      <w:rPr>
        <w:rFonts w:hint="eastAsia" w:ascii="方正仿宋_GBK" w:hAnsi="方正仿宋_GBK" w:eastAsia="仿宋" w:cs="方正仿宋_GBK"/>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sz w:val="21"/>
        <w:szCs w:val="21"/>
      </w:rPr>
    </w:pPr>
    <w:r>
      <w:rPr>
        <w:rFonts w:hint="eastAsia" w:ascii="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YWFmM2VmNDFlNzQ3MDg1M2E2MmM4NzliZjYzZTYifQ=="/>
  </w:docVars>
  <w:rsids>
    <w:rsidRoot w:val="40C93C2C"/>
    <w:rsid w:val="00001BBA"/>
    <w:rsid w:val="0003371E"/>
    <w:rsid w:val="00035579"/>
    <w:rsid w:val="000443FC"/>
    <w:rsid w:val="00047F4D"/>
    <w:rsid w:val="00072066"/>
    <w:rsid w:val="000738D8"/>
    <w:rsid w:val="00075943"/>
    <w:rsid w:val="00077897"/>
    <w:rsid w:val="0008284F"/>
    <w:rsid w:val="00091FEA"/>
    <w:rsid w:val="000965EE"/>
    <w:rsid w:val="000B2480"/>
    <w:rsid w:val="000C3D09"/>
    <w:rsid w:val="000D3AFA"/>
    <w:rsid w:val="000F145F"/>
    <w:rsid w:val="000F3332"/>
    <w:rsid w:val="00155303"/>
    <w:rsid w:val="0015548F"/>
    <w:rsid w:val="00162C52"/>
    <w:rsid w:val="001704A3"/>
    <w:rsid w:val="0018549B"/>
    <w:rsid w:val="0019140F"/>
    <w:rsid w:val="001957E0"/>
    <w:rsid w:val="00196664"/>
    <w:rsid w:val="00196F1F"/>
    <w:rsid w:val="001A5733"/>
    <w:rsid w:val="001A5A7D"/>
    <w:rsid w:val="001B02F0"/>
    <w:rsid w:val="001E30C4"/>
    <w:rsid w:val="002034BC"/>
    <w:rsid w:val="00203AED"/>
    <w:rsid w:val="002231E8"/>
    <w:rsid w:val="00237EBB"/>
    <w:rsid w:val="00244B36"/>
    <w:rsid w:val="00250893"/>
    <w:rsid w:val="00271429"/>
    <w:rsid w:val="00287DC0"/>
    <w:rsid w:val="00292A24"/>
    <w:rsid w:val="002B01E8"/>
    <w:rsid w:val="002B38BB"/>
    <w:rsid w:val="002B48D7"/>
    <w:rsid w:val="002B7C8D"/>
    <w:rsid w:val="002C6518"/>
    <w:rsid w:val="002D170A"/>
    <w:rsid w:val="002D744B"/>
    <w:rsid w:val="002E6741"/>
    <w:rsid w:val="002F7DBC"/>
    <w:rsid w:val="0030015C"/>
    <w:rsid w:val="0030371C"/>
    <w:rsid w:val="0031205E"/>
    <w:rsid w:val="0031364C"/>
    <w:rsid w:val="00326D37"/>
    <w:rsid w:val="00330559"/>
    <w:rsid w:val="003479AD"/>
    <w:rsid w:val="00351DD2"/>
    <w:rsid w:val="00353FA3"/>
    <w:rsid w:val="00354EF3"/>
    <w:rsid w:val="003578DA"/>
    <w:rsid w:val="00362C84"/>
    <w:rsid w:val="00371609"/>
    <w:rsid w:val="003743E3"/>
    <w:rsid w:val="00384A9F"/>
    <w:rsid w:val="003B5524"/>
    <w:rsid w:val="003C795A"/>
    <w:rsid w:val="003D30BD"/>
    <w:rsid w:val="003E49B8"/>
    <w:rsid w:val="003F7D1E"/>
    <w:rsid w:val="00414057"/>
    <w:rsid w:val="00424CB3"/>
    <w:rsid w:val="00442E69"/>
    <w:rsid w:val="00467A37"/>
    <w:rsid w:val="0049085A"/>
    <w:rsid w:val="0049374C"/>
    <w:rsid w:val="004B3077"/>
    <w:rsid w:val="004D55F7"/>
    <w:rsid w:val="0050657D"/>
    <w:rsid w:val="005074DD"/>
    <w:rsid w:val="0054634E"/>
    <w:rsid w:val="005622EB"/>
    <w:rsid w:val="005823DE"/>
    <w:rsid w:val="005A00D4"/>
    <w:rsid w:val="005B00B3"/>
    <w:rsid w:val="005B77C1"/>
    <w:rsid w:val="005C006D"/>
    <w:rsid w:val="005E7EF2"/>
    <w:rsid w:val="006035B7"/>
    <w:rsid w:val="00665054"/>
    <w:rsid w:val="0066726E"/>
    <w:rsid w:val="00674183"/>
    <w:rsid w:val="00674CFD"/>
    <w:rsid w:val="0067578E"/>
    <w:rsid w:val="0068337C"/>
    <w:rsid w:val="00696CB4"/>
    <w:rsid w:val="006B38B0"/>
    <w:rsid w:val="006B6641"/>
    <w:rsid w:val="006D3EE4"/>
    <w:rsid w:val="006E135B"/>
    <w:rsid w:val="006E175F"/>
    <w:rsid w:val="006F7C3C"/>
    <w:rsid w:val="00700B00"/>
    <w:rsid w:val="00704233"/>
    <w:rsid w:val="00717EFB"/>
    <w:rsid w:val="00726C37"/>
    <w:rsid w:val="0073106B"/>
    <w:rsid w:val="007310B9"/>
    <w:rsid w:val="00733234"/>
    <w:rsid w:val="00745222"/>
    <w:rsid w:val="00756185"/>
    <w:rsid w:val="00771795"/>
    <w:rsid w:val="0079473D"/>
    <w:rsid w:val="007A6ED9"/>
    <w:rsid w:val="007C0407"/>
    <w:rsid w:val="007C146F"/>
    <w:rsid w:val="007C1F10"/>
    <w:rsid w:val="007D100F"/>
    <w:rsid w:val="007D40D3"/>
    <w:rsid w:val="007D515D"/>
    <w:rsid w:val="007D63FC"/>
    <w:rsid w:val="008049A0"/>
    <w:rsid w:val="008113DC"/>
    <w:rsid w:val="0081340A"/>
    <w:rsid w:val="00820D07"/>
    <w:rsid w:val="0084747E"/>
    <w:rsid w:val="00862CFE"/>
    <w:rsid w:val="00862FEF"/>
    <w:rsid w:val="00864E02"/>
    <w:rsid w:val="0087480F"/>
    <w:rsid w:val="00875DC9"/>
    <w:rsid w:val="00884CCB"/>
    <w:rsid w:val="00886203"/>
    <w:rsid w:val="00890337"/>
    <w:rsid w:val="008A6766"/>
    <w:rsid w:val="008B0511"/>
    <w:rsid w:val="008D0817"/>
    <w:rsid w:val="008D4BA3"/>
    <w:rsid w:val="008F7580"/>
    <w:rsid w:val="00902E9F"/>
    <w:rsid w:val="00921417"/>
    <w:rsid w:val="0092188F"/>
    <w:rsid w:val="00923ED6"/>
    <w:rsid w:val="00932200"/>
    <w:rsid w:val="00932D42"/>
    <w:rsid w:val="00984BFA"/>
    <w:rsid w:val="009C2CF6"/>
    <w:rsid w:val="009C4A09"/>
    <w:rsid w:val="009E004F"/>
    <w:rsid w:val="009E0760"/>
    <w:rsid w:val="00A13559"/>
    <w:rsid w:val="00A305A2"/>
    <w:rsid w:val="00A34F4D"/>
    <w:rsid w:val="00A41599"/>
    <w:rsid w:val="00A443B5"/>
    <w:rsid w:val="00A50462"/>
    <w:rsid w:val="00A51D28"/>
    <w:rsid w:val="00A57038"/>
    <w:rsid w:val="00A8111E"/>
    <w:rsid w:val="00A8118D"/>
    <w:rsid w:val="00A82E14"/>
    <w:rsid w:val="00A94272"/>
    <w:rsid w:val="00A95A43"/>
    <w:rsid w:val="00AA38C0"/>
    <w:rsid w:val="00AA5503"/>
    <w:rsid w:val="00AB3664"/>
    <w:rsid w:val="00AB7083"/>
    <w:rsid w:val="00AC02E8"/>
    <w:rsid w:val="00AE5CF8"/>
    <w:rsid w:val="00B00AB4"/>
    <w:rsid w:val="00B0219D"/>
    <w:rsid w:val="00B175C0"/>
    <w:rsid w:val="00B25671"/>
    <w:rsid w:val="00B54DF7"/>
    <w:rsid w:val="00B66180"/>
    <w:rsid w:val="00B81526"/>
    <w:rsid w:val="00BA3F67"/>
    <w:rsid w:val="00BA5F5E"/>
    <w:rsid w:val="00BD4D45"/>
    <w:rsid w:val="00BD5979"/>
    <w:rsid w:val="00BE72CD"/>
    <w:rsid w:val="00BE7A5D"/>
    <w:rsid w:val="00C013F9"/>
    <w:rsid w:val="00C03ADA"/>
    <w:rsid w:val="00C049B6"/>
    <w:rsid w:val="00C04C3D"/>
    <w:rsid w:val="00C402DB"/>
    <w:rsid w:val="00C517B3"/>
    <w:rsid w:val="00C7605F"/>
    <w:rsid w:val="00C82D92"/>
    <w:rsid w:val="00C849C0"/>
    <w:rsid w:val="00CB137E"/>
    <w:rsid w:val="00CB4E76"/>
    <w:rsid w:val="00CC21EC"/>
    <w:rsid w:val="00CC3F89"/>
    <w:rsid w:val="00CC6C95"/>
    <w:rsid w:val="00CD49F7"/>
    <w:rsid w:val="00CD582A"/>
    <w:rsid w:val="00CD5D73"/>
    <w:rsid w:val="00D0530C"/>
    <w:rsid w:val="00D05AD7"/>
    <w:rsid w:val="00D076D5"/>
    <w:rsid w:val="00D46D8F"/>
    <w:rsid w:val="00D52E5D"/>
    <w:rsid w:val="00D5361A"/>
    <w:rsid w:val="00D72445"/>
    <w:rsid w:val="00D87E8E"/>
    <w:rsid w:val="00DB25CA"/>
    <w:rsid w:val="00DB2D52"/>
    <w:rsid w:val="00DC3F03"/>
    <w:rsid w:val="00DC532D"/>
    <w:rsid w:val="00DC6508"/>
    <w:rsid w:val="00DE32B6"/>
    <w:rsid w:val="00DF1062"/>
    <w:rsid w:val="00DF1847"/>
    <w:rsid w:val="00DF7A42"/>
    <w:rsid w:val="00E06F19"/>
    <w:rsid w:val="00E12D8A"/>
    <w:rsid w:val="00E13392"/>
    <w:rsid w:val="00E16C43"/>
    <w:rsid w:val="00E40A9E"/>
    <w:rsid w:val="00E43A43"/>
    <w:rsid w:val="00E51082"/>
    <w:rsid w:val="00E52C06"/>
    <w:rsid w:val="00E66588"/>
    <w:rsid w:val="00E71BDF"/>
    <w:rsid w:val="00E8640D"/>
    <w:rsid w:val="00E93BC4"/>
    <w:rsid w:val="00E96A85"/>
    <w:rsid w:val="00ED18D5"/>
    <w:rsid w:val="00ED477A"/>
    <w:rsid w:val="00ED7017"/>
    <w:rsid w:val="00EE1F3A"/>
    <w:rsid w:val="00EF0562"/>
    <w:rsid w:val="00F07145"/>
    <w:rsid w:val="00F24690"/>
    <w:rsid w:val="00F43F91"/>
    <w:rsid w:val="00F53786"/>
    <w:rsid w:val="00F64C81"/>
    <w:rsid w:val="00F926E3"/>
    <w:rsid w:val="00FA1382"/>
    <w:rsid w:val="00FC40FB"/>
    <w:rsid w:val="00FE25D2"/>
    <w:rsid w:val="00FE39D0"/>
    <w:rsid w:val="010279D9"/>
    <w:rsid w:val="014F2BF9"/>
    <w:rsid w:val="0157524E"/>
    <w:rsid w:val="015A1C08"/>
    <w:rsid w:val="01677D22"/>
    <w:rsid w:val="01760AB5"/>
    <w:rsid w:val="01767DF0"/>
    <w:rsid w:val="018B0415"/>
    <w:rsid w:val="01C410ED"/>
    <w:rsid w:val="01EA2131"/>
    <w:rsid w:val="01F066C2"/>
    <w:rsid w:val="01F55610"/>
    <w:rsid w:val="02016651"/>
    <w:rsid w:val="02420537"/>
    <w:rsid w:val="02484769"/>
    <w:rsid w:val="02601145"/>
    <w:rsid w:val="0280123D"/>
    <w:rsid w:val="028A36E5"/>
    <w:rsid w:val="02A02677"/>
    <w:rsid w:val="02B61B42"/>
    <w:rsid w:val="02E13F6D"/>
    <w:rsid w:val="02F0290C"/>
    <w:rsid w:val="0308478D"/>
    <w:rsid w:val="03525480"/>
    <w:rsid w:val="0364408B"/>
    <w:rsid w:val="038F5556"/>
    <w:rsid w:val="03B17B3C"/>
    <w:rsid w:val="03E33B8C"/>
    <w:rsid w:val="03FC7332"/>
    <w:rsid w:val="03FE21F6"/>
    <w:rsid w:val="041F595C"/>
    <w:rsid w:val="04253776"/>
    <w:rsid w:val="0432516C"/>
    <w:rsid w:val="043D1336"/>
    <w:rsid w:val="044755B3"/>
    <w:rsid w:val="044817B9"/>
    <w:rsid w:val="044E0C6E"/>
    <w:rsid w:val="04634C76"/>
    <w:rsid w:val="047C69AB"/>
    <w:rsid w:val="04887AAC"/>
    <w:rsid w:val="048E150A"/>
    <w:rsid w:val="04AA0046"/>
    <w:rsid w:val="04B750FF"/>
    <w:rsid w:val="04C63186"/>
    <w:rsid w:val="04DA1B93"/>
    <w:rsid w:val="04E119F2"/>
    <w:rsid w:val="04F17CDF"/>
    <w:rsid w:val="04FD1264"/>
    <w:rsid w:val="050749F2"/>
    <w:rsid w:val="050B2FD3"/>
    <w:rsid w:val="05150164"/>
    <w:rsid w:val="051667F9"/>
    <w:rsid w:val="054264E4"/>
    <w:rsid w:val="054B1622"/>
    <w:rsid w:val="054C57E7"/>
    <w:rsid w:val="057250EE"/>
    <w:rsid w:val="057F564B"/>
    <w:rsid w:val="058F4061"/>
    <w:rsid w:val="05956E68"/>
    <w:rsid w:val="05A416E1"/>
    <w:rsid w:val="05A5042F"/>
    <w:rsid w:val="05AD31CE"/>
    <w:rsid w:val="05B97F22"/>
    <w:rsid w:val="05CA210C"/>
    <w:rsid w:val="05CE632E"/>
    <w:rsid w:val="05D07EE5"/>
    <w:rsid w:val="061640A4"/>
    <w:rsid w:val="0633527A"/>
    <w:rsid w:val="0648044E"/>
    <w:rsid w:val="066261CA"/>
    <w:rsid w:val="06634C7E"/>
    <w:rsid w:val="06792DD5"/>
    <w:rsid w:val="067E7DEF"/>
    <w:rsid w:val="0695635D"/>
    <w:rsid w:val="069947CA"/>
    <w:rsid w:val="06CE1AAF"/>
    <w:rsid w:val="06DA7052"/>
    <w:rsid w:val="06F62DD7"/>
    <w:rsid w:val="06F66EA1"/>
    <w:rsid w:val="07255051"/>
    <w:rsid w:val="072F431D"/>
    <w:rsid w:val="07310258"/>
    <w:rsid w:val="0757791A"/>
    <w:rsid w:val="07737A50"/>
    <w:rsid w:val="077869DB"/>
    <w:rsid w:val="077E496D"/>
    <w:rsid w:val="079917ED"/>
    <w:rsid w:val="079B3A16"/>
    <w:rsid w:val="07B83A96"/>
    <w:rsid w:val="07B96411"/>
    <w:rsid w:val="07D37FD5"/>
    <w:rsid w:val="07E43A81"/>
    <w:rsid w:val="07E459B1"/>
    <w:rsid w:val="07F44CA4"/>
    <w:rsid w:val="080816EE"/>
    <w:rsid w:val="080A7480"/>
    <w:rsid w:val="080D7A6E"/>
    <w:rsid w:val="083657FB"/>
    <w:rsid w:val="08381F25"/>
    <w:rsid w:val="08385375"/>
    <w:rsid w:val="083D27F3"/>
    <w:rsid w:val="08447953"/>
    <w:rsid w:val="08545A1E"/>
    <w:rsid w:val="086069BB"/>
    <w:rsid w:val="086A6A25"/>
    <w:rsid w:val="087B7477"/>
    <w:rsid w:val="0884738C"/>
    <w:rsid w:val="088578D6"/>
    <w:rsid w:val="08897A3F"/>
    <w:rsid w:val="089538A4"/>
    <w:rsid w:val="08B639AB"/>
    <w:rsid w:val="08B931D6"/>
    <w:rsid w:val="090717EE"/>
    <w:rsid w:val="091C7001"/>
    <w:rsid w:val="092B1932"/>
    <w:rsid w:val="094E33C8"/>
    <w:rsid w:val="094F62FF"/>
    <w:rsid w:val="09504B83"/>
    <w:rsid w:val="09545647"/>
    <w:rsid w:val="09574FC9"/>
    <w:rsid w:val="09575B61"/>
    <w:rsid w:val="09707B94"/>
    <w:rsid w:val="09716C57"/>
    <w:rsid w:val="098965C9"/>
    <w:rsid w:val="09993053"/>
    <w:rsid w:val="09AA4B46"/>
    <w:rsid w:val="09AA55A6"/>
    <w:rsid w:val="09BB2234"/>
    <w:rsid w:val="09DD6F59"/>
    <w:rsid w:val="09F139B6"/>
    <w:rsid w:val="0A0B6679"/>
    <w:rsid w:val="0A147E07"/>
    <w:rsid w:val="0A3F501F"/>
    <w:rsid w:val="0A41307A"/>
    <w:rsid w:val="0A6B1B3B"/>
    <w:rsid w:val="0A6B46B7"/>
    <w:rsid w:val="0A8E517A"/>
    <w:rsid w:val="0A916B10"/>
    <w:rsid w:val="0A9D0E4A"/>
    <w:rsid w:val="0AE24125"/>
    <w:rsid w:val="0B046A7D"/>
    <w:rsid w:val="0B106A66"/>
    <w:rsid w:val="0B1A6417"/>
    <w:rsid w:val="0B1F2B63"/>
    <w:rsid w:val="0B281DDC"/>
    <w:rsid w:val="0B37498A"/>
    <w:rsid w:val="0B4A0702"/>
    <w:rsid w:val="0B565A87"/>
    <w:rsid w:val="0B565E12"/>
    <w:rsid w:val="0B731D84"/>
    <w:rsid w:val="0B782745"/>
    <w:rsid w:val="0B7A6950"/>
    <w:rsid w:val="0B890535"/>
    <w:rsid w:val="0B9569A0"/>
    <w:rsid w:val="0B981162"/>
    <w:rsid w:val="0BBA00D3"/>
    <w:rsid w:val="0BBA6364"/>
    <w:rsid w:val="0BC33CF1"/>
    <w:rsid w:val="0BD14CC5"/>
    <w:rsid w:val="0BD229F1"/>
    <w:rsid w:val="0C2301DA"/>
    <w:rsid w:val="0C271F1A"/>
    <w:rsid w:val="0C2A1865"/>
    <w:rsid w:val="0C2D4207"/>
    <w:rsid w:val="0C4135AB"/>
    <w:rsid w:val="0C535558"/>
    <w:rsid w:val="0C653B44"/>
    <w:rsid w:val="0C8274E1"/>
    <w:rsid w:val="0C947A74"/>
    <w:rsid w:val="0CA060DB"/>
    <w:rsid w:val="0CAA6660"/>
    <w:rsid w:val="0CDB38BE"/>
    <w:rsid w:val="0CEB6E50"/>
    <w:rsid w:val="0D123DAD"/>
    <w:rsid w:val="0D2678EF"/>
    <w:rsid w:val="0D2C1440"/>
    <w:rsid w:val="0D3D3362"/>
    <w:rsid w:val="0D4C6C38"/>
    <w:rsid w:val="0D637261"/>
    <w:rsid w:val="0D6A6D48"/>
    <w:rsid w:val="0D7936EE"/>
    <w:rsid w:val="0D8D79D7"/>
    <w:rsid w:val="0DA755E0"/>
    <w:rsid w:val="0DB959FB"/>
    <w:rsid w:val="0DC0699C"/>
    <w:rsid w:val="0DC87EB8"/>
    <w:rsid w:val="0DCF2E4D"/>
    <w:rsid w:val="0DD926DA"/>
    <w:rsid w:val="0DE021A4"/>
    <w:rsid w:val="0DE564AD"/>
    <w:rsid w:val="0E1645CD"/>
    <w:rsid w:val="0E296A53"/>
    <w:rsid w:val="0E371F9B"/>
    <w:rsid w:val="0E3A6F1A"/>
    <w:rsid w:val="0E3C0D54"/>
    <w:rsid w:val="0E3F63E9"/>
    <w:rsid w:val="0E566686"/>
    <w:rsid w:val="0E5C577C"/>
    <w:rsid w:val="0E616184"/>
    <w:rsid w:val="0E6E4728"/>
    <w:rsid w:val="0E6F6BDF"/>
    <w:rsid w:val="0E8954E9"/>
    <w:rsid w:val="0E9070CF"/>
    <w:rsid w:val="0EA77815"/>
    <w:rsid w:val="0EAB02E0"/>
    <w:rsid w:val="0EAE7D74"/>
    <w:rsid w:val="0EB16063"/>
    <w:rsid w:val="0EB96541"/>
    <w:rsid w:val="0EC50B88"/>
    <w:rsid w:val="0ED7162C"/>
    <w:rsid w:val="0EDC2F3B"/>
    <w:rsid w:val="0EE62986"/>
    <w:rsid w:val="0EF50F52"/>
    <w:rsid w:val="0F051D41"/>
    <w:rsid w:val="0F0778E1"/>
    <w:rsid w:val="0F2605FA"/>
    <w:rsid w:val="0F2B11BE"/>
    <w:rsid w:val="0F2C4D2D"/>
    <w:rsid w:val="0F2E2FD4"/>
    <w:rsid w:val="0F2E7E64"/>
    <w:rsid w:val="0F2F1258"/>
    <w:rsid w:val="0F311FF6"/>
    <w:rsid w:val="0F412B53"/>
    <w:rsid w:val="0F4168EE"/>
    <w:rsid w:val="0F501C09"/>
    <w:rsid w:val="0F5920DD"/>
    <w:rsid w:val="0F68792A"/>
    <w:rsid w:val="0F944496"/>
    <w:rsid w:val="0F9C5445"/>
    <w:rsid w:val="0FAB6F93"/>
    <w:rsid w:val="0FB06A76"/>
    <w:rsid w:val="0FB14946"/>
    <w:rsid w:val="0FB219ED"/>
    <w:rsid w:val="0FB90AE1"/>
    <w:rsid w:val="0FC75875"/>
    <w:rsid w:val="0FCE556B"/>
    <w:rsid w:val="0FD77509"/>
    <w:rsid w:val="0FF514D4"/>
    <w:rsid w:val="101A082E"/>
    <w:rsid w:val="103804C5"/>
    <w:rsid w:val="10512649"/>
    <w:rsid w:val="106557CD"/>
    <w:rsid w:val="10662F99"/>
    <w:rsid w:val="106C6CC8"/>
    <w:rsid w:val="107416A2"/>
    <w:rsid w:val="107E0C99"/>
    <w:rsid w:val="1084225D"/>
    <w:rsid w:val="10906703"/>
    <w:rsid w:val="10935107"/>
    <w:rsid w:val="1097001C"/>
    <w:rsid w:val="10A54B90"/>
    <w:rsid w:val="10B23DB6"/>
    <w:rsid w:val="10C9030A"/>
    <w:rsid w:val="10C957B0"/>
    <w:rsid w:val="10D313A9"/>
    <w:rsid w:val="10EF6ECA"/>
    <w:rsid w:val="10F6418F"/>
    <w:rsid w:val="112E764C"/>
    <w:rsid w:val="114A07B2"/>
    <w:rsid w:val="115117C7"/>
    <w:rsid w:val="11522FB8"/>
    <w:rsid w:val="11755598"/>
    <w:rsid w:val="11777F12"/>
    <w:rsid w:val="11A27A3D"/>
    <w:rsid w:val="11A46BA8"/>
    <w:rsid w:val="11AB7F2F"/>
    <w:rsid w:val="11AF7974"/>
    <w:rsid w:val="11B07944"/>
    <w:rsid w:val="11B3004F"/>
    <w:rsid w:val="11B95D68"/>
    <w:rsid w:val="11D0607A"/>
    <w:rsid w:val="11E23F66"/>
    <w:rsid w:val="11F81312"/>
    <w:rsid w:val="1205621C"/>
    <w:rsid w:val="120B1CE1"/>
    <w:rsid w:val="12134D18"/>
    <w:rsid w:val="122D552A"/>
    <w:rsid w:val="12460326"/>
    <w:rsid w:val="12472C82"/>
    <w:rsid w:val="12590DDF"/>
    <w:rsid w:val="127A2C8B"/>
    <w:rsid w:val="127E28D0"/>
    <w:rsid w:val="1287113B"/>
    <w:rsid w:val="12A3680D"/>
    <w:rsid w:val="12BE74A2"/>
    <w:rsid w:val="12CC1A9F"/>
    <w:rsid w:val="12DE37CA"/>
    <w:rsid w:val="12E22A42"/>
    <w:rsid w:val="12F3489F"/>
    <w:rsid w:val="1319122A"/>
    <w:rsid w:val="13191FB4"/>
    <w:rsid w:val="131B1C0A"/>
    <w:rsid w:val="1326221F"/>
    <w:rsid w:val="1329211C"/>
    <w:rsid w:val="134767CE"/>
    <w:rsid w:val="13515C6F"/>
    <w:rsid w:val="135B2389"/>
    <w:rsid w:val="13646713"/>
    <w:rsid w:val="1369338C"/>
    <w:rsid w:val="13F60D71"/>
    <w:rsid w:val="14047920"/>
    <w:rsid w:val="141324B8"/>
    <w:rsid w:val="141A1344"/>
    <w:rsid w:val="141E3891"/>
    <w:rsid w:val="142B21B3"/>
    <w:rsid w:val="142F1C51"/>
    <w:rsid w:val="1438137D"/>
    <w:rsid w:val="14567CD7"/>
    <w:rsid w:val="14630F64"/>
    <w:rsid w:val="148C68FC"/>
    <w:rsid w:val="14B3676D"/>
    <w:rsid w:val="14C16DCA"/>
    <w:rsid w:val="14DA3589"/>
    <w:rsid w:val="14E03344"/>
    <w:rsid w:val="14EC4497"/>
    <w:rsid w:val="14EF7735"/>
    <w:rsid w:val="15074CDC"/>
    <w:rsid w:val="15334DEF"/>
    <w:rsid w:val="15445C19"/>
    <w:rsid w:val="15465150"/>
    <w:rsid w:val="1570285F"/>
    <w:rsid w:val="15925129"/>
    <w:rsid w:val="15AE41BE"/>
    <w:rsid w:val="15C61793"/>
    <w:rsid w:val="15FB06EE"/>
    <w:rsid w:val="15FC29A5"/>
    <w:rsid w:val="15FD18D8"/>
    <w:rsid w:val="161E429C"/>
    <w:rsid w:val="16443619"/>
    <w:rsid w:val="164B4D9F"/>
    <w:rsid w:val="16500E7E"/>
    <w:rsid w:val="16636F9F"/>
    <w:rsid w:val="1677276B"/>
    <w:rsid w:val="16876714"/>
    <w:rsid w:val="16931C57"/>
    <w:rsid w:val="16A8316B"/>
    <w:rsid w:val="16D00771"/>
    <w:rsid w:val="16D827B4"/>
    <w:rsid w:val="16D86495"/>
    <w:rsid w:val="16DC3E6F"/>
    <w:rsid w:val="170B0999"/>
    <w:rsid w:val="17111E96"/>
    <w:rsid w:val="171B48F8"/>
    <w:rsid w:val="17384D65"/>
    <w:rsid w:val="174B278C"/>
    <w:rsid w:val="174D13DC"/>
    <w:rsid w:val="174F4176"/>
    <w:rsid w:val="17521752"/>
    <w:rsid w:val="175468B3"/>
    <w:rsid w:val="176C42C2"/>
    <w:rsid w:val="178831DB"/>
    <w:rsid w:val="178B727D"/>
    <w:rsid w:val="17915058"/>
    <w:rsid w:val="179B4647"/>
    <w:rsid w:val="17D91A12"/>
    <w:rsid w:val="17DC4AC3"/>
    <w:rsid w:val="17E801FE"/>
    <w:rsid w:val="17F80177"/>
    <w:rsid w:val="17F83F44"/>
    <w:rsid w:val="18003820"/>
    <w:rsid w:val="18016986"/>
    <w:rsid w:val="18083050"/>
    <w:rsid w:val="180C72BC"/>
    <w:rsid w:val="1828358E"/>
    <w:rsid w:val="18297C98"/>
    <w:rsid w:val="182A2EC1"/>
    <w:rsid w:val="1842004B"/>
    <w:rsid w:val="18450DB8"/>
    <w:rsid w:val="18471246"/>
    <w:rsid w:val="185E3E5E"/>
    <w:rsid w:val="18805CA9"/>
    <w:rsid w:val="18883AAC"/>
    <w:rsid w:val="189027F5"/>
    <w:rsid w:val="18961D72"/>
    <w:rsid w:val="18974E66"/>
    <w:rsid w:val="18AE05D8"/>
    <w:rsid w:val="18B20138"/>
    <w:rsid w:val="18F76F56"/>
    <w:rsid w:val="19003311"/>
    <w:rsid w:val="19162CB4"/>
    <w:rsid w:val="19633697"/>
    <w:rsid w:val="19696F3B"/>
    <w:rsid w:val="196E3277"/>
    <w:rsid w:val="19791782"/>
    <w:rsid w:val="19796783"/>
    <w:rsid w:val="19963B0C"/>
    <w:rsid w:val="19B64DBC"/>
    <w:rsid w:val="19CE7E98"/>
    <w:rsid w:val="19DC2C4D"/>
    <w:rsid w:val="19F631DB"/>
    <w:rsid w:val="19FD05C4"/>
    <w:rsid w:val="19FF2193"/>
    <w:rsid w:val="1A127975"/>
    <w:rsid w:val="1A35305B"/>
    <w:rsid w:val="1A3D4028"/>
    <w:rsid w:val="1A4B2512"/>
    <w:rsid w:val="1A4F6A6D"/>
    <w:rsid w:val="1A5B42E4"/>
    <w:rsid w:val="1A687285"/>
    <w:rsid w:val="1A7E0E74"/>
    <w:rsid w:val="1A8B167A"/>
    <w:rsid w:val="1A9255FF"/>
    <w:rsid w:val="1AA3538D"/>
    <w:rsid w:val="1ABD562B"/>
    <w:rsid w:val="1AC748A9"/>
    <w:rsid w:val="1ACD57D8"/>
    <w:rsid w:val="1ACF5964"/>
    <w:rsid w:val="1AD64380"/>
    <w:rsid w:val="1AD7720E"/>
    <w:rsid w:val="1B201BA8"/>
    <w:rsid w:val="1B2F52C1"/>
    <w:rsid w:val="1B446A63"/>
    <w:rsid w:val="1B5F3BA9"/>
    <w:rsid w:val="1B7C4CBC"/>
    <w:rsid w:val="1BA20319"/>
    <w:rsid w:val="1BA8064B"/>
    <w:rsid w:val="1BB31DC9"/>
    <w:rsid w:val="1BD546D0"/>
    <w:rsid w:val="1BD92CE5"/>
    <w:rsid w:val="1BE44770"/>
    <w:rsid w:val="1C390072"/>
    <w:rsid w:val="1C3E461E"/>
    <w:rsid w:val="1C440099"/>
    <w:rsid w:val="1C552CB4"/>
    <w:rsid w:val="1C5B535A"/>
    <w:rsid w:val="1C5D4700"/>
    <w:rsid w:val="1C6D3D32"/>
    <w:rsid w:val="1C6D6F90"/>
    <w:rsid w:val="1C714856"/>
    <w:rsid w:val="1CA2209A"/>
    <w:rsid w:val="1CB60284"/>
    <w:rsid w:val="1CC17CA3"/>
    <w:rsid w:val="1CE90020"/>
    <w:rsid w:val="1CEA6411"/>
    <w:rsid w:val="1D017EAC"/>
    <w:rsid w:val="1D024550"/>
    <w:rsid w:val="1D0C1AA0"/>
    <w:rsid w:val="1D0F7F68"/>
    <w:rsid w:val="1D211A07"/>
    <w:rsid w:val="1D2A6B5E"/>
    <w:rsid w:val="1D300695"/>
    <w:rsid w:val="1D404CCB"/>
    <w:rsid w:val="1D4C3EAC"/>
    <w:rsid w:val="1D640CBD"/>
    <w:rsid w:val="1D77128B"/>
    <w:rsid w:val="1D7A465E"/>
    <w:rsid w:val="1D90417C"/>
    <w:rsid w:val="1DA62814"/>
    <w:rsid w:val="1DAC7417"/>
    <w:rsid w:val="1DB0454D"/>
    <w:rsid w:val="1DBA3A88"/>
    <w:rsid w:val="1DDE688F"/>
    <w:rsid w:val="1DEA4B40"/>
    <w:rsid w:val="1DF96CE6"/>
    <w:rsid w:val="1E0C2468"/>
    <w:rsid w:val="1E100DEB"/>
    <w:rsid w:val="1E124355"/>
    <w:rsid w:val="1E1F5B59"/>
    <w:rsid w:val="1E246F2E"/>
    <w:rsid w:val="1E350532"/>
    <w:rsid w:val="1E3A4F0E"/>
    <w:rsid w:val="1E513EF5"/>
    <w:rsid w:val="1E5C14EF"/>
    <w:rsid w:val="1E605AC7"/>
    <w:rsid w:val="1E687E27"/>
    <w:rsid w:val="1E7B4161"/>
    <w:rsid w:val="1E855897"/>
    <w:rsid w:val="1E8662A1"/>
    <w:rsid w:val="1E9274EE"/>
    <w:rsid w:val="1E976387"/>
    <w:rsid w:val="1EA05F78"/>
    <w:rsid w:val="1EA17076"/>
    <w:rsid w:val="1EA30377"/>
    <w:rsid w:val="1EAC5CF0"/>
    <w:rsid w:val="1EC61C90"/>
    <w:rsid w:val="1ED33DF7"/>
    <w:rsid w:val="1ED51EC0"/>
    <w:rsid w:val="1EDF2AC3"/>
    <w:rsid w:val="1EEC6C9C"/>
    <w:rsid w:val="1EED41C7"/>
    <w:rsid w:val="1EEF27F7"/>
    <w:rsid w:val="1EFF65BD"/>
    <w:rsid w:val="1F0301E8"/>
    <w:rsid w:val="1F0F4418"/>
    <w:rsid w:val="1F2450A2"/>
    <w:rsid w:val="1F266AF2"/>
    <w:rsid w:val="1F2921C1"/>
    <w:rsid w:val="1F423080"/>
    <w:rsid w:val="1F4A5A23"/>
    <w:rsid w:val="1F6208FA"/>
    <w:rsid w:val="1F795699"/>
    <w:rsid w:val="1F7D7B7E"/>
    <w:rsid w:val="1F8B00EC"/>
    <w:rsid w:val="1F8D2DEF"/>
    <w:rsid w:val="1F8D462E"/>
    <w:rsid w:val="1F980438"/>
    <w:rsid w:val="1FB00909"/>
    <w:rsid w:val="1FC032E1"/>
    <w:rsid w:val="1FD87ACC"/>
    <w:rsid w:val="1FD90556"/>
    <w:rsid w:val="1FE95A8A"/>
    <w:rsid w:val="1FEF0C77"/>
    <w:rsid w:val="1FFE3BAB"/>
    <w:rsid w:val="2010660D"/>
    <w:rsid w:val="2018367A"/>
    <w:rsid w:val="202145A8"/>
    <w:rsid w:val="20346975"/>
    <w:rsid w:val="20504D09"/>
    <w:rsid w:val="20562924"/>
    <w:rsid w:val="20564A23"/>
    <w:rsid w:val="20734217"/>
    <w:rsid w:val="209F46FC"/>
    <w:rsid w:val="20D5415D"/>
    <w:rsid w:val="20F420C9"/>
    <w:rsid w:val="210078FB"/>
    <w:rsid w:val="2111630E"/>
    <w:rsid w:val="212D3408"/>
    <w:rsid w:val="212F5663"/>
    <w:rsid w:val="213532BF"/>
    <w:rsid w:val="21364E40"/>
    <w:rsid w:val="21474A51"/>
    <w:rsid w:val="21481066"/>
    <w:rsid w:val="216960C8"/>
    <w:rsid w:val="2175028B"/>
    <w:rsid w:val="21812E44"/>
    <w:rsid w:val="21971541"/>
    <w:rsid w:val="21A168C8"/>
    <w:rsid w:val="21AC4ECC"/>
    <w:rsid w:val="21B646D2"/>
    <w:rsid w:val="21BF6616"/>
    <w:rsid w:val="21C31913"/>
    <w:rsid w:val="21CB5A7A"/>
    <w:rsid w:val="21CC3D94"/>
    <w:rsid w:val="21DD1C30"/>
    <w:rsid w:val="21EB17A7"/>
    <w:rsid w:val="22002E02"/>
    <w:rsid w:val="220E6AD5"/>
    <w:rsid w:val="221706BD"/>
    <w:rsid w:val="22430C86"/>
    <w:rsid w:val="225659D9"/>
    <w:rsid w:val="22655D72"/>
    <w:rsid w:val="227135F2"/>
    <w:rsid w:val="22833F45"/>
    <w:rsid w:val="2287643A"/>
    <w:rsid w:val="229C1F7F"/>
    <w:rsid w:val="22BB71A9"/>
    <w:rsid w:val="22CD7333"/>
    <w:rsid w:val="22CE48AD"/>
    <w:rsid w:val="22D44DB6"/>
    <w:rsid w:val="22EE5736"/>
    <w:rsid w:val="23085EC2"/>
    <w:rsid w:val="230F1C77"/>
    <w:rsid w:val="231213A2"/>
    <w:rsid w:val="23292671"/>
    <w:rsid w:val="232E02AF"/>
    <w:rsid w:val="235258B9"/>
    <w:rsid w:val="23562E54"/>
    <w:rsid w:val="23897251"/>
    <w:rsid w:val="239A212D"/>
    <w:rsid w:val="23B01098"/>
    <w:rsid w:val="23BC7739"/>
    <w:rsid w:val="23D360E9"/>
    <w:rsid w:val="23DD275A"/>
    <w:rsid w:val="23F31E65"/>
    <w:rsid w:val="23FA7418"/>
    <w:rsid w:val="240209F5"/>
    <w:rsid w:val="2403217D"/>
    <w:rsid w:val="24092638"/>
    <w:rsid w:val="240F5818"/>
    <w:rsid w:val="241F01FE"/>
    <w:rsid w:val="24281757"/>
    <w:rsid w:val="243D08AD"/>
    <w:rsid w:val="244A501D"/>
    <w:rsid w:val="245B6551"/>
    <w:rsid w:val="2463062C"/>
    <w:rsid w:val="246A6F49"/>
    <w:rsid w:val="247750E5"/>
    <w:rsid w:val="247A4326"/>
    <w:rsid w:val="24917AC6"/>
    <w:rsid w:val="24921F46"/>
    <w:rsid w:val="24962528"/>
    <w:rsid w:val="24992AB5"/>
    <w:rsid w:val="24A235F9"/>
    <w:rsid w:val="24A4255F"/>
    <w:rsid w:val="24B675AA"/>
    <w:rsid w:val="24C27401"/>
    <w:rsid w:val="24EF141E"/>
    <w:rsid w:val="24F33B9B"/>
    <w:rsid w:val="24F546EC"/>
    <w:rsid w:val="24FB6E4C"/>
    <w:rsid w:val="25220CBC"/>
    <w:rsid w:val="25397F25"/>
    <w:rsid w:val="25632058"/>
    <w:rsid w:val="256539D3"/>
    <w:rsid w:val="257E0077"/>
    <w:rsid w:val="25874688"/>
    <w:rsid w:val="258A783A"/>
    <w:rsid w:val="258B3340"/>
    <w:rsid w:val="25A378D6"/>
    <w:rsid w:val="25B94D9E"/>
    <w:rsid w:val="25BC4229"/>
    <w:rsid w:val="25CA270E"/>
    <w:rsid w:val="25D42D49"/>
    <w:rsid w:val="25E263A8"/>
    <w:rsid w:val="25E96F10"/>
    <w:rsid w:val="25F8138C"/>
    <w:rsid w:val="25FC2997"/>
    <w:rsid w:val="26270E8E"/>
    <w:rsid w:val="26527B3D"/>
    <w:rsid w:val="26843AD6"/>
    <w:rsid w:val="268D58C1"/>
    <w:rsid w:val="2697109A"/>
    <w:rsid w:val="269D6667"/>
    <w:rsid w:val="26BC2E63"/>
    <w:rsid w:val="26C70358"/>
    <w:rsid w:val="26DF5234"/>
    <w:rsid w:val="26E44315"/>
    <w:rsid w:val="26EE4A86"/>
    <w:rsid w:val="270B543C"/>
    <w:rsid w:val="271A6337"/>
    <w:rsid w:val="272E24A9"/>
    <w:rsid w:val="273B136A"/>
    <w:rsid w:val="27613A74"/>
    <w:rsid w:val="27752467"/>
    <w:rsid w:val="27A1529D"/>
    <w:rsid w:val="27B33DDE"/>
    <w:rsid w:val="27B92300"/>
    <w:rsid w:val="27B92BBF"/>
    <w:rsid w:val="27EA6EB0"/>
    <w:rsid w:val="280D5715"/>
    <w:rsid w:val="28131C63"/>
    <w:rsid w:val="28193342"/>
    <w:rsid w:val="281E07FC"/>
    <w:rsid w:val="282D1F29"/>
    <w:rsid w:val="284517B7"/>
    <w:rsid w:val="285B5066"/>
    <w:rsid w:val="285F61BC"/>
    <w:rsid w:val="286A3619"/>
    <w:rsid w:val="287064B6"/>
    <w:rsid w:val="288C3C94"/>
    <w:rsid w:val="28940A2F"/>
    <w:rsid w:val="28B016EF"/>
    <w:rsid w:val="28BA0295"/>
    <w:rsid w:val="28CF6803"/>
    <w:rsid w:val="29204D4E"/>
    <w:rsid w:val="292F3DF1"/>
    <w:rsid w:val="293A08BB"/>
    <w:rsid w:val="29464541"/>
    <w:rsid w:val="294D0514"/>
    <w:rsid w:val="294F294E"/>
    <w:rsid w:val="2952265D"/>
    <w:rsid w:val="29571496"/>
    <w:rsid w:val="296A6FEC"/>
    <w:rsid w:val="2973273F"/>
    <w:rsid w:val="297C5933"/>
    <w:rsid w:val="29965195"/>
    <w:rsid w:val="29965A3F"/>
    <w:rsid w:val="299C5619"/>
    <w:rsid w:val="299D1471"/>
    <w:rsid w:val="29B70C98"/>
    <w:rsid w:val="29B751B5"/>
    <w:rsid w:val="29BE4971"/>
    <w:rsid w:val="29CC380C"/>
    <w:rsid w:val="29D3077C"/>
    <w:rsid w:val="29F55883"/>
    <w:rsid w:val="2A2C5A6D"/>
    <w:rsid w:val="2A4065CD"/>
    <w:rsid w:val="2A6F342B"/>
    <w:rsid w:val="2A7E669D"/>
    <w:rsid w:val="2A984D6D"/>
    <w:rsid w:val="2AA51639"/>
    <w:rsid w:val="2AAF6F8A"/>
    <w:rsid w:val="2AB557FE"/>
    <w:rsid w:val="2ABA6BA0"/>
    <w:rsid w:val="2AC407E3"/>
    <w:rsid w:val="2AD753D9"/>
    <w:rsid w:val="2AE01A27"/>
    <w:rsid w:val="2AE324DA"/>
    <w:rsid w:val="2AE62AFD"/>
    <w:rsid w:val="2AE651BB"/>
    <w:rsid w:val="2AFB0A4E"/>
    <w:rsid w:val="2B1818F6"/>
    <w:rsid w:val="2B1B6DC7"/>
    <w:rsid w:val="2B304F93"/>
    <w:rsid w:val="2B3A1D21"/>
    <w:rsid w:val="2B3A5BA9"/>
    <w:rsid w:val="2B6F5DD1"/>
    <w:rsid w:val="2B8307CD"/>
    <w:rsid w:val="2B925829"/>
    <w:rsid w:val="2B9B1D78"/>
    <w:rsid w:val="2BA40DD5"/>
    <w:rsid w:val="2BC710E3"/>
    <w:rsid w:val="2BD52616"/>
    <w:rsid w:val="2BD5324B"/>
    <w:rsid w:val="2C013EB5"/>
    <w:rsid w:val="2C183F6B"/>
    <w:rsid w:val="2C1E1D73"/>
    <w:rsid w:val="2C43116A"/>
    <w:rsid w:val="2C524C08"/>
    <w:rsid w:val="2C827B71"/>
    <w:rsid w:val="2C864B2D"/>
    <w:rsid w:val="2C950523"/>
    <w:rsid w:val="2CBB728E"/>
    <w:rsid w:val="2CBC4F72"/>
    <w:rsid w:val="2CBE2968"/>
    <w:rsid w:val="2CCD168B"/>
    <w:rsid w:val="2CD3198B"/>
    <w:rsid w:val="2CDA4B5F"/>
    <w:rsid w:val="2D0F2BE4"/>
    <w:rsid w:val="2D1579D5"/>
    <w:rsid w:val="2D1C7D09"/>
    <w:rsid w:val="2D2073FA"/>
    <w:rsid w:val="2D2912ED"/>
    <w:rsid w:val="2D390945"/>
    <w:rsid w:val="2D41024B"/>
    <w:rsid w:val="2D5C676F"/>
    <w:rsid w:val="2D670417"/>
    <w:rsid w:val="2D6858D9"/>
    <w:rsid w:val="2D73635F"/>
    <w:rsid w:val="2D82288D"/>
    <w:rsid w:val="2D8D7D17"/>
    <w:rsid w:val="2DA2350C"/>
    <w:rsid w:val="2DA26B18"/>
    <w:rsid w:val="2DA8623F"/>
    <w:rsid w:val="2DA961F4"/>
    <w:rsid w:val="2DC405AA"/>
    <w:rsid w:val="2DCE52AB"/>
    <w:rsid w:val="2DEA093A"/>
    <w:rsid w:val="2DEC574C"/>
    <w:rsid w:val="2E107F27"/>
    <w:rsid w:val="2E350841"/>
    <w:rsid w:val="2E3F30CE"/>
    <w:rsid w:val="2E3F3B86"/>
    <w:rsid w:val="2E464466"/>
    <w:rsid w:val="2E513AEA"/>
    <w:rsid w:val="2E5546CA"/>
    <w:rsid w:val="2E5A7BE8"/>
    <w:rsid w:val="2E5D4E74"/>
    <w:rsid w:val="2E6233B1"/>
    <w:rsid w:val="2E6C0BC3"/>
    <w:rsid w:val="2E78039F"/>
    <w:rsid w:val="2E8A4356"/>
    <w:rsid w:val="2E9208E5"/>
    <w:rsid w:val="2E994CCB"/>
    <w:rsid w:val="2EC165B7"/>
    <w:rsid w:val="2EC94A7F"/>
    <w:rsid w:val="2EE21BC4"/>
    <w:rsid w:val="2EE828E1"/>
    <w:rsid w:val="2F12452C"/>
    <w:rsid w:val="2F256FF1"/>
    <w:rsid w:val="2F27097A"/>
    <w:rsid w:val="2F3B2694"/>
    <w:rsid w:val="2F3D0B0C"/>
    <w:rsid w:val="2F597FAF"/>
    <w:rsid w:val="2F66090D"/>
    <w:rsid w:val="2F740EEC"/>
    <w:rsid w:val="2F886E02"/>
    <w:rsid w:val="2F8B3D1C"/>
    <w:rsid w:val="2FA62C4D"/>
    <w:rsid w:val="2FBF6B43"/>
    <w:rsid w:val="2FCF2F65"/>
    <w:rsid w:val="2FD6053B"/>
    <w:rsid w:val="2FE95F99"/>
    <w:rsid w:val="30017697"/>
    <w:rsid w:val="300F55E6"/>
    <w:rsid w:val="301F4C48"/>
    <w:rsid w:val="301F7643"/>
    <w:rsid w:val="30283439"/>
    <w:rsid w:val="302F5185"/>
    <w:rsid w:val="30426FCF"/>
    <w:rsid w:val="30587FA7"/>
    <w:rsid w:val="305D7AD0"/>
    <w:rsid w:val="30685E7B"/>
    <w:rsid w:val="308D0993"/>
    <w:rsid w:val="308D42C9"/>
    <w:rsid w:val="30AA0D1F"/>
    <w:rsid w:val="30B260F5"/>
    <w:rsid w:val="30E34019"/>
    <w:rsid w:val="30EF6F14"/>
    <w:rsid w:val="30FB1AA8"/>
    <w:rsid w:val="312A7037"/>
    <w:rsid w:val="314011DB"/>
    <w:rsid w:val="315438F7"/>
    <w:rsid w:val="315933C6"/>
    <w:rsid w:val="31691C58"/>
    <w:rsid w:val="316E002A"/>
    <w:rsid w:val="31BC3762"/>
    <w:rsid w:val="31D94622"/>
    <w:rsid w:val="31E97788"/>
    <w:rsid w:val="32021A6E"/>
    <w:rsid w:val="3211473C"/>
    <w:rsid w:val="321D18FA"/>
    <w:rsid w:val="323C4645"/>
    <w:rsid w:val="325B5588"/>
    <w:rsid w:val="32743B56"/>
    <w:rsid w:val="328F4D9A"/>
    <w:rsid w:val="329308B5"/>
    <w:rsid w:val="32940192"/>
    <w:rsid w:val="32A23103"/>
    <w:rsid w:val="32AD00A2"/>
    <w:rsid w:val="32CA61F0"/>
    <w:rsid w:val="32CE4BB1"/>
    <w:rsid w:val="32DE7B3B"/>
    <w:rsid w:val="32F23A0D"/>
    <w:rsid w:val="32F41E1C"/>
    <w:rsid w:val="32F74522"/>
    <w:rsid w:val="331733B6"/>
    <w:rsid w:val="331F74EF"/>
    <w:rsid w:val="33254F2C"/>
    <w:rsid w:val="33271732"/>
    <w:rsid w:val="332D1F82"/>
    <w:rsid w:val="333B756C"/>
    <w:rsid w:val="333F2807"/>
    <w:rsid w:val="334C54A3"/>
    <w:rsid w:val="334E620E"/>
    <w:rsid w:val="33562BC3"/>
    <w:rsid w:val="335915B0"/>
    <w:rsid w:val="3361036C"/>
    <w:rsid w:val="336743E3"/>
    <w:rsid w:val="337F0619"/>
    <w:rsid w:val="338C5B19"/>
    <w:rsid w:val="33A944FB"/>
    <w:rsid w:val="33B3530A"/>
    <w:rsid w:val="33B57EB9"/>
    <w:rsid w:val="33D26E92"/>
    <w:rsid w:val="33D613EB"/>
    <w:rsid w:val="33E1253F"/>
    <w:rsid w:val="33E7434F"/>
    <w:rsid w:val="340F6385"/>
    <w:rsid w:val="34143946"/>
    <w:rsid w:val="341961E6"/>
    <w:rsid w:val="34237494"/>
    <w:rsid w:val="34267A1B"/>
    <w:rsid w:val="342C1C45"/>
    <w:rsid w:val="3430596F"/>
    <w:rsid w:val="34383243"/>
    <w:rsid w:val="3440181B"/>
    <w:rsid w:val="345F76AC"/>
    <w:rsid w:val="346A0FD0"/>
    <w:rsid w:val="348A0A63"/>
    <w:rsid w:val="349F3894"/>
    <w:rsid w:val="34A52A15"/>
    <w:rsid w:val="34D64492"/>
    <w:rsid w:val="34D713BB"/>
    <w:rsid w:val="34DC7047"/>
    <w:rsid w:val="34F20EA2"/>
    <w:rsid w:val="350C7643"/>
    <w:rsid w:val="3512750B"/>
    <w:rsid w:val="35274BD4"/>
    <w:rsid w:val="352969D0"/>
    <w:rsid w:val="35301D1C"/>
    <w:rsid w:val="35340772"/>
    <w:rsid w:val="353731B8"/>
    <w:rsid w:val="355901DD"/>
    <w:rsid w:val="356A2647"/>
    <w:rsid w:val="356F4778"/>
    <w:rsid w:val="359922DC"/>
    <w:rsid w:val="359F0D05"/>
    <w:rsid w:val="35A32344"/>
    <w:rsid w:val="35B620EC"/>
    <w:rsid w:val="35BB3F6F"/>
    <w:rsid w:val="35D65950"/>
    <w:rsid w:val="35E54622"/>
    <w:rsid w:val="35F970E2"/>
    <w:rsid w:val="35FB3F2C"/>
    <w:rsid w:val="35FF5FA6"/>
    <w:rsid w:val="360546BE"/>
    <w:rsid w:val="36107575"/>
    <w:rsid w:val="361100CA"/>
    <w:rsid w:val="361D2C3D"/>
    <w:rsid w:val="362102EC"/>
    <w:rsid w:val="363A6600"/>
    <w:rsid w:val="364F7A09"/>
    <w:rsid w:val="367E0E4A"/>
    <w:rsid w:val="368637B1"/>
    <w:rsid w:val="368F1295"/>
    <w:rsid w:val="369E1627"/>
    <w:rsid w:val="36B57888"/>
    <w:rsid w:val="36E153DC"/>
    <w:rsid w:val="371501DE"/>
    <w:rsid w:val="37155B18"/>
    <w:rsid w:val="37167010"/>
    <w:rsid w:val="37284E0F"/>
    <w:rsid w:val="372A0F6A"/>
    <w:rsid w:val="37505700"/>
    <w:rsid w:val="37536EAE"/>
    <w:rsid w:val="37C95891"/>
    <w:rsid w:val="37CB0D94"/>
    <w:rsid w:val="37E04CBD"/>
    <w:rsid w:val="37F37544"/>
    <w:rsid w:val="37FF3BD6"/>
    <w:rsid w:val="380B5D8F"/>
    <w:rsid w:val="38132D92"/>
    <w:rsid w:val="3822688F"/>
    <w:rsid w:val="382D1516"/>
    <w:rsid w:val="38476EA9"/>
    <w:rsid w:val="384777BB"/>
    <w:rsid w:val="38727D40"/>
    <w:rsid w:val="389F23E5"/>
    <w:rsid w:val="38BF27CF"/>
    <w:rsid w:val="38C32D98"/>
    <w:rsid w:val="38C81CAD"/>
    <w:rsid w:val="38E27D78"/>
    <w:rsid w:val="38EE2BD1"/>
    <w:rsid w:val="39113F01"/>
    <w:rsid w:val="391E4DE5"/>
    <w:rsid w:val="392917AF"/>
    <w:rsid w:val="39717D4D"/>
    <w:rsid w:val="39830E01"/>
    <w:rsid w:val="39856166"/>
    <w:rsid w:val="398D2547"/>
    <w:rsid w:val="3997440C"/>
    <w:rsid w:val="399A66DD"/>
    <w:rsid w:val="399C000D"/>
    <w:rsid w:val="39B07681"/>
    <w:rsid w:val="39B27340"/>
    <w:rsid w:val="39B3171B"/>
    <w:rsid w:val="39BC232D"/>
    <w:rsid w:val="39E27EB4"/>
    <w:rsid w:val="39FA6877"/>
    <w:rsid w:val="39FE4031"/>
    <w:rsid w:val="3A015456"/>
    <w:rsid w:val="3A0750C7"/>
    <w:rsid w:val="3A1E68BD"/>
    <w:rsid w:val="3A3F6685"/>
    <w:rsid w:val="3A4000D9"/>
    <w:rsid w:val="3A4521CA"/>
    <w:rsid w:val="3A49509F"/>
    <w:rsid w:val="3A4C2FCE"/>
    <w:rsid w:val="3A584C46"/>
    <w:rsid w:val="3A612DE5"/>
    <w:rsid w:val="3A633B75"/>
    <w:rsid w:val="3A660034"/>
    <w:rsid w:val="3A7969EC"/>
    <w:rsid w:val="3A814008"/>
    <w:rsid w:val="3A875AD9"/>
    <w:rsid w:val="3A927C61"/>
    <w:rsid w:val="3AA05D26"/>
    <w:rsid w:val="3AAE52D9"/>
    <w:rsid w:val="3ACA4944"/>
    <w:rsid w:val="3AD05CB0"/>
    <w:rsid w:val="3AD47FDF"/>
    <w:rsid w:val="3AD52E9F"/>
    <w:rsid w:val="3AE66485"/>
    <w:rsid w:val="3AF4735F"/>
    <w:rsid w:val="3AF74F0E"/>
    <w:rsid w:val="3AFD3E8E"/>
    <w:rsid w:val="3B167A46"/>
    <w:rsid w:val="3B1A038D"/>
    <w:rsid w:val="3B222B86"/>
    <w:rsid w:val="3B2D69B8"/>
    <w:rsid w:val="3B4200A1"/>
    <w:rsid w:val="3B457282"/>
    <w:rsid w:val="3B471728"/>
    <w:rsid w:val="3B6B075E"/>
    <w:rsid w:val="3B6E2C02"/>
    <w:rsid w:val="3B9B2C42"/>
    <w:rsid w:val="3BE673EC"/>
    <w:rsid w:val="3BEC4A0F"/>
    <w:rsid w:val="3BF550DA"/>
    <w:rsid w:val="3BF765EC"/>
    <w:rsid w:val="3C296B3D"/>
    <w:rsid w:val="3C59682E"/>
    <w:rsid w:val="3C662E18"/>
    <w:rsid w:val="3C6E32A4"/>
    <w:rsid w:val="3C747A13"/>
    <w:rsid w:val="3C7C694C"/>
    <w:rsid w:val="3C9E7A44"/>
    <w:rsid w:val="3CAA420B"/>
    <w:rsid w:val="3CB15178"/>
    <w:rsid w:val="3CB872DE"/>
    <w:rsid w:val="3CC52689"/>
    <w:rsid w:val="3CD06218"/>
    <w:rsid w:val="3CD32522"/>
    <w:rsid w:val="3CD558B1"/>
    <w:rsid w:val="3CEA6298"/>
    <w:rsid w:val="3D1A39DF"/>
    <w:rsid w:val="3D2637E2"/>
    <w:rsid w:val="3D3263EC"/>
    <w:rsid w:val="3D631C80"/>
    <w:rsid w:val="3D692B06"/>
    <w:rsid w:val="3D755E2C"/>
    <w:rsid w:val="3D8F35D4"/>
    <w:rsid w:val="3D8F386B"/>
    <w:rsid w:val="3DA31BAA"/>
    <w:rsid w:val="3DA53D6A"/>
    <w:rsid w:val="3DA821DD"/>
    <w:rsid w:val="3DA91092"/>
    <w:rsid w:val="3DAA0E17"/>
    <w:rsid w:val="3DAC0DEC"/>
    <w:rsid w:val="3DC24D75"/>
    <w:rsid w:val="3DD869E0"/>
    <w:rsid w:val="3DE2791A"/>
    <w:rsid w:val="3DEE3015"/>
    <w:rsid w:val="3DFF6BDC"/>
    <w:rsid w:val="3E2117EC"/>
    <w:rsid w:val="3E217E18"/>
    <w:rsid w:val="3E6D48DD"/>
    <w:rsid w:val="3E8435E3"/>
    <w:rsid w:val="3E926A99"/>
    <w:rsid w:val="3EB20B34"/>
    <w:rsid w:val="3EC0586C"/>
    <w:rsid w:val="3EC96F52"/>
    <w:rsid w:val="3ED120AE"/>
    <w:rsid w:val="3ED956BE"/>
    <w:rsid w:val="3EEA1EF3"/>
    <w:rsid w:val="3EED3326"/>
    <w:rsid w:val="3EFF5662"/>
    <w:rsid w:val="3F1C5CAE"/>
    <w:rsid w:val="3F3556B8"/>
    <w:rsid w:val="3F4602FB"/>
    <w:rsid w:val="3F50250C"/>
    <w:rsid w:val="3F5778E8"/>
    <w:rsid w:val="3F84768E"/>
    <w:rsid w:val="3FA00195"/>
    <w:rsid w:val="3FA45E02"/>
    <w:rsid w:val="3FAD626E"/>
    <w:rsid w:val="3FD1113F"/>
    <w:rsid w:val="3FD55222"/>
    <w:rsid w:val="3FE6300C"/>
    <w:rsid w:val="3FF87264"/>
    <w:rsid w:val="400849B2"/>
    <w:rsid w:val="400B78FF"/>
    <w:rsid w:val="401D636B"/>
    <w:rsid w:val="4043016C"/>
    <w:rsid w:val="406B5BD7"/>
    <w:rsid w:val="40A2012D"/>
    <w:rsid w:val="40AA4297"/>
    <w:rsid w:val="40C93C2C"/>
    <w:rsid w:val="40CC4402"/>
    <w:rsid w:val="40CF248F"/>
    <w:rsid w:val="410267CF"/>
    <w:rsid w:val="411941A7"/>
    <w:rsid w:val="412D17A7"/>
    <w:rsid w:val="413B7A68"/>
    <w:rsid w:val="41420895"/>
    <w:rsid w:val="4146033A"/>
    <w:rsid w:val="414F2940"/>
    <w:rsid w:val="415212A6"/>
    <w:rsid w:val="415F49A9"/>
    <w:rsid w:val="416869A2"/>
    <w:rsid w:val="418A5922"/>
    <w:rsid w:val="419507B0"/>
    <w:rsid w:val="419559F2"/>
    <w:rsid w:val="41966D0A"/>
    <w:rsid w:val="41C9379D"/>
    <w:rsid w:val="41CC4198"/>
    <w:rsid w:val="41D34286"/>
    <w:rsid w:val="41D73D30"/>
    <w:rsid w:val="420578A7"/>
    <w:rsid w:val="42287121"/>
    <w:rsid w:val="423226CF"/>
    <w:rsid w:val="427B18CD"/>
    <w:rsid w:val="42806636"/>
    <w:rsid w:val="42B71B61"/>
    <w:rsid w:val="42E42CCB"/>
    <w:rsid w:val="42F21808"/>
    <w:rsid w:val="43002094"/>
    <w:rsid w:val="43084968"/>
    <w:rsid w:val="43121B0F"/>
    <w:rsid w:val="431A4EB4"/>
    <w:rsid w:val="43207F9F"/>
    <w:rsid w:val="434A1CA6"/>
    <w:rsid w:val="435070E5"/>
    <w:rsid w:val="43545B7B"/>
    <w:rsid w:val="435606E0"/>
    <w:rsid w:val="435A43DE"/>
    <w:rsid w:val="43654EE0"/>
    <w:rsid w:val="436F1EDB"/>
    <w:rsid w:val="43832355"/>
    <w:rsid w:val="43855937"/>
    <w:rsid w:val="439865BE"/>
    <w:rsid w:val="439D3315"/>
    <w:rsid w:val="439E6090"/>
    <w:rsid w:val="43A00E80"/>
    <w:rsid w:val="43AA3793"/>
    <w:rsid w:val="43BB1503"/>
    <w:rsid w:val="43CA0E3F"/>
    <w:rsid w:val="43DA0DDE"/>
    <w:rsid w:val="43DB286E"/>
    <w:rsid w:val="43E0737D"/>
    <w:rsid w:val="43EA514C"/>
    <w:rsid w:val="43EF0CF0"/>
    <w:rsid w:val="43F92031"/>
    <w:rsid w:val="44106185"/>
    <w:rsid w:val="442F1C73"/>
    <w:rsid w:val="443A0F91"/>
    <w:rsid w:val="44406426"/>
    <w:rsid w:val="44A6576F"/>
    <w:rsid w:val="44BF00CD"/>
    <w:rsid w:val="44C17D93"/>
    <w:rsid w:val="44D01B63"/>
    <w:rsid w:val="44D11CFA"/>
    <w:rsid w:val="44EB74C2"/>
    <w:rsid w:val="450A0A98"/>
    <w:rsid w:val="450C5AD8"/>
    <w:rsid w:val="4557254B"/>
    <w:rsid w:val="455730E3"/>
    <w:rsid w:val="455A6F7C"/>
    <w:rsid w:val="456033DF"/>
    <w:rsid w:val="45615501"/>
    <w:rsid w:val="456C4A00"/>
    <w:rsid w:val="4576312C"/>
    <w:rsid w:val="457A02D2"/>
    <w:rsid w:val="45AA6BF5"/>
    <w:rsid w:val="45AE6214"/>
    <w:rsid w:val="45D1609B"/>
    <w:rsid w:val="45D24EF1"/>
    <w:rsid w:val="45DE579C"/>
    <w:rsid w:val="45E578B3"/>
    <w:rsid w:val="45EB50C1"/>
    <w:rsid w:val="45F03524"/>
    <w:rsid w:val="460C17DD"/>
    <w:rsid w:val="462823E5"/>
    <w:rsid w:val="46347065"/>
    <w:rsid w:val="46403ED5"/>
    <w:rsid w:val="46560D43"/>
    <w:rsid w:val="46633FE3"/>
    <w:rsid w:val="468F011D"/>
    <w:rsid w:val="469640D2"/>
    <w:rsid w:val="469D1308"/>
    <w:rsid w:val="469D4A4E"/>
    <w:rsid w:val="46A06F84"/>
    <w:rsid w:val="46A71032"/>
    <w:rsid w:val="46BA4CF3"/>
    <w:rsid w:val="46C619E8"/>
    <w:rsid w:val="46C6256D"/>
    <w:rsid w:val="46CC3936"/>
    <w:rsid w:val="46E1312D"/>
    <w:rsid w:val="46E43002"/>
    <w:rsid w:val="46F40C50"/>
    <w:rsid w:val="46F54AD4"/>
    <w:rsid w:val="47085549"/>
    <w:rsid w:val="470B52C8"/>
    <w:rsid w:val="47101F20"/>
    <w:rsid w:val="4720474D"/>
    <w:rsid w:val="475D27B8"/>
    <w:rsid w:val="478A4680"/>
    <w:rsid w:val="47BD361A"/>
    <w:rsid w:val="47C62491"/>
    <w:rsid w:val="47CA0DD5"/>
    <w:rsid w:val="47CD61BD"/>
    <w:rsid w:val="47D3765D"/>
    <w:rsid w:val="47F463DE"/>
    <w:rsid w:val="47FA0A18"/>
    <w:rsid w:val="47FD14A4"/>
    <w:rsid w:val="48043F47"/>
    <w:rsid w:val="480F5CC6"/>
    <w:rsid w:val="48123EFD"/>
    <w:rsid w:val="482565B6"/>
    <w:rsid w:val="484D2622"/>
    <w:rsid w:val="48511591"/>
    <w:rsid w:val="48546986"/>
    <w:rsid w:val="48627946"/>
    <w:rsid w:val="4868638A"/>
    <w:rsid w:val="486E4AFA"/>
    <w:rsid w:val="489B5671"/>
    <w:rsid w:val="489F3706"/>
    <w:rsid w:val="48A807B9"/>
    <w:rsid w:val="48EE3B7A"/>
    <w:rsid w:val="48FB01C0"/>
    <w:rsid w:val="49172611"/>
    <w:rsid w:val="491B6650"/>
    <w:rsid w:val="491F5978"/>
    <w:rsid w:val="4934123D"/>
    <w:rsid w:val="49426D81"/>
    <w:rsid w:val="494614E0"/>
    <w:rsid w:val="4946760E"/>
    <w:rsid w:val="498E4072"/>
    <w:rsid w:val="499833AA"/>
    <w:rsid w:val="49A46E71"/>
    <w:rsid w:val="49B03007"/>
    <w:rsid w:val="49DB6509"/>
    <w:rsid w:val="49DC7A4B"/>
    <w:rsid w:val="49ED70EF"/>
    <w:rsid w:val="49FB7771"/>
    <w:rsid w:val="4A0317EC"/>
    <w:rsid w:val="4A067202"/>
    <w:rsid w:val="4A1F6B8B"/>
    <w:rsid w:val="4A27187C"/>
    <w:rsid w:val="4A3D2319"/>
    <w:rsid w:val="4A424F4F"/>
    <w:rsid w:val="4A6A766C"/>
    <w:rsid w:val="4A6C5CD9"/>
    <w:rsid w:val="4A832C0A"/>
    <w:rsid w:val="4A935488"/>
    <w:rsid w:val="4AAC05EF"/>
    <w:rsid w:val="4AB923BF"/>
    <w:rsid w:val="4AC36577"/>
    <w:rsid w:val="4AD36547"/>
    <w:rsid w:val="4ADE3D60"/>
    <w:rsid w:val="4AE0139D"/>
    <w:rsid w:val="4AEE438C"/>
    <w:rsid w:val="4B0F08F0"/>
    <w:rsid w:val="4B13136B"/>
    <w:rsid w:val="4B163F3A"/>
    <w:rsid w:val="4B260EC9"/>
    <w:rsid w:val="4B4C50BB"/>
    <w:rsid w:val="4B580590"/>
    <w:rsid w:val="4B647335"/>
    <w:rsid w:val="4B783852"/>
    <w:rsid w:val="4BF47773"/>
    <w:rsid w:val="4C302607"/>
    <w:rsid w:val="4C307608"/>
    <w:rsid w:val="4C3414B9"/>
    <w:rsid w:val="4C373098"/>
    <w:rsid w:val="4C4C0BC5"/>
    <w:rsid w:val="4C5727FA"/>
    <w:rsid w:val="4C606508"/>
    <w:rsid w:val="4C662843"/>
    <w:rsid w:val="4C673BB1"/>
    <w:rsid w:val="4C6D2199"/>
    <w:rsid w:val="4C9C0F1E"/>
    <w:rsid w:val="4C9C41E3"/>
    <w:rsid w:val="4CA54F3E"/>
    <w:rsid w:val="4CA845C0"/>
    <w:rsid w:val="4CD72882"/>
    <w:rsid w:val="4D267674"/>
    <w:rsid w:val="4D3A3FC4"/>
    <w:rsid w:val="4D431BAA"/>
    <w:rsid w:val="4D56570C"/>
    <w:rsid w:val="4D6A0350"/>
    <w:rsid w:val="4D885499"/>
    <w:rsid w:val="4DA722C2"/>
    <w:rsid w:val="4DAB0D50"/>
    <w:rsid w:val="4DAD4AC6"/>
    <w:rsid w:val="4DAF3636"/>
    <w:rsid w:val="4DB30006"/>
    <w:rsid w:val="4DD012BB"/>
    <w:rsid w:val="4DE94216"/>
    <w:rsid w:val="4DF642D6"/>
    <w:rsid w:val="4DF77026"/>
    <w:rsid w:val="4E0965B6"/>
    <w:rsid w:val="4E0F6958"/>
    <w:rsid w:val="4E1A150C"/>
    <w:rsid w:val="4E1B2346"/>
    <w:rsid w:val="4E3560D5"/>
    <w:rsid w:val="4E3D2D11"/>
    <w:rsid w:val="4E492795"/>
    <w:rsid w:val="4E553773"/>
    <w:rsid w:val="4E557723"/>
    <w:rsid w:val="4E5B5B47"/>
    <w:rsid w:val="4E7D712F"/>
    <w:rsid w:val="4E8412B2"/>
    <w:rsid w:val="4E941D66"/>
    <w:rsid w:val="4EB57BF8"/>
    <w:rsid w:val="4EBB3698"/>
    <w:rsid w:val="4EBD44AF"/>
    <w:rsid w:val="4EBF1F35"/>
    <w:rsid w:val="4EC62A4A"/>
    <w:rsid w:val="4ED43257"/>
    <w:rsid w:val="4ED55A87"/>
    <w:rsid w:val="4ED55CAE"/>
    <w:rsid w:val="4EEA0B90"/>
    <w:rsid w:val="4EEC6BC3"/>
    <w:rsid w:val="4EF10825"/>
    <w:rsid w:val="4EF2748D"/>
    <w:rsid w:val="4EF96F4E"/>
    <w:rsid w:val="4F08779C"/>
    <w:rsid w:val="4F105A52"/>
    <w:rsid w:val="4F157099"/>
    <w:rsid w:val="4F196A6C"/>
    <w:rsid w:val="4F243ADF"/>
    <w:rsid w:val="4F381E11"/>
    <w:rsid w:val="4F3D582C"/>
    <w:rsid w:val="4F4D6C67"/>
    <w:rsid w:val="4F62558B"/>
    <w:rsid w:val="4F876C67"/>
    <w:rsid w:val="4F970FBB"/>
    <w:rsid w:val="4FB64DCA"/>
    <w:rsid w:val="4FBA2471"/>
    <w:rsid w:val="4FCD492E"/>
    <w:rsid w:val="4FCD7F18"/>
    <w:rsid w:val="4FD0677A"/>
    <w:rsid w:val="4FD41506"/>
    <w:rsid w:val="4FD47036"/>
    <w:rsid w:val="501F1578"/>
    <w:rsid w:val="50246F36"/>
    <w:rsid w:val="502D74A0"/>
    <w:rsid w:val="50391B98"/>
    <w:rsid w:val="50445B61"/>
    <w:rsid w:val="50501594"/>
    <w:rsid w:val="506733B6"/>
    <w:rsid w:val="506906AE"/>
    <w:rsid w:val="507218D8"/>
    <w:rsid w:val="507612E2"/>
    <w:rsid w:val="507E34D2"/>
    <w:rsid w:val="50887E11"/>
    <w:rsid w:val="50D11AD4"/>
    <w:rsid w:val="50E56D6F"/>
    <w:rsid w:val="50EF7CB4"/>
    <w:rsid w:val="51034999"/>
    <w:rsid w:val="510A3797"/>
    <w:rsid w:val="5115689A"/>
    <w:rsid w:val="51163A42"/>
    <w:rsid w:val="51272B72"/>
    <w:rsid w:val="512961A1"/>
    <w:rsid w:val="512E7AF3"/>
    <w:rsid w:val="51315009"/>
    <w:rsid w:val="5148313A"/>
    <w:rsid w:val="51AE63D7"/>
    <w:rsid w:val="51C7476C"/>
    <w:rsid w:val="52311A4B"/>
    <w:rsid w:val="5235110D"/>
    <w:rsid w:val="5259664A"/>
    <w:rsid w:val="525D0EC9"/>
    <w:rsid w:val="52697CB0"/>
    <w:rsid w:val="526E48F5"/>
    <w:rsid w:val="527B023F"/>
    <w:rsid w:val="529366D4"/>
    <w:rsid w:val="529A5DFF"/>
    <w:rsid w:val="52A61C57"/>
    <w:rsid w:val="52A65A40"/>
    <w:rsid w:val="52F05440"/>
    <w:rsid w:val="530A7149"/>
    <w:rsid w:val="5322349F"/>
    <w:rsid w:val="53237764"/>
    <w:rsid w:val="532A6A37"/>
    <w:rsid w:val="53394C1B"/>
    <w:rsid w:val="53515BC9"/>
    <w:rsid w:val="535C19B0"/>
    <w:rsid w:val="537A654E"/>
    <w:rsid w:val="537D4CB3"/>
    <w:rsid w:val="538E37F2"/>
    <w:rsid w:val="538F7E27"/>
    <w:rsid w:val="539E762F"/>
    <w:rsid w:val="53A13655"/>
    <w:rsid w:val="53AD271F"/>
    <w:rsid w:val="53B11F80"/>
    <w:rsid w:val="53FC2405"/>
    <w:rsid w:val="54070E9C"/>
    <w:rsid w:val="541364A0"/>
    <w:rsid w:val="541C3C30"/>
    <w:rsid w:val="54530402"/>
    <w:rsid w:val="545D328E"/>
    <w:rsid w:val="546D6440"/>
    <w:rsid w:val="546F3BC5"/>
    <w:rsid w:val="54A35B80"/>
    <w:rsid w:val="54A475DC"/>
    <w:rsid w:val="54B36C30"/>
    <w:rsid w:val="54C36759"/>
    <w:rsid w:val="54CE26A4"/>
    <w:rsid w:val="54D16D9C"/>
    <w:rsid w:val="54D92923"/>
    <w:rsid w:val="54DC3F02"/>
    <w:rsid w:val="54E6788C"/>
    <w:rsid w:val="55044C2E"/>
    <w:rsid w:val="5509067E"/>
    <w:rsid w:val="551178F4"/>
    <w:rsid w:val="55314C27"/>
    <w:rsid w:val="55384686"/>
    <w:rsid w:val="55647983"/>
    <w:rsid w:val="5567793D"/>
    <w:rsid w:val="556C4C06"/>
    <w:rsid w:val="5588140E"/>
    <w:rsid w:val="55885D4D"/>
    <w:rsid w:val="55B33B70"/>
    <w:rsid w:val="55CD5C9F"/>
    <w:rsid w:val="55D60722"/>
    <w:rsid w:val="55DA0C7A"/>
    <w:rsid w:val="55EE2A74"/>
    <w:rsid w:val="56031A5C"/>
    <w:rsid w:val="561E4CF3"/>
    <w:rsid w:val="5629452E"/>
    <w:rsid w:val="563033AA"/>
    <w:rsid w:val="564800D2"/>
    <w:rsid w:val="564F5474"/>
    <w:rsid w:val="56533EA1"/>
    <w:rsid w:val="56693221"/>
    <w:rsid w:val="567A6CC7"/>
    <w:rsid w:val="569011A6"/>
    <w:rsid w:val="56955B35"/>
    <w:rsid w:val="56A01E4E"/>
    <w:rsid w:val="56AD70EE"/>
    <w:rsid w:val="56B802D4"/>
    <w:rsid w:val="56C975DE"/>
    <w:rsid w:val="56DC20E2"/>
    <w:rsid w:val="56E4636E"/>
    <w:rsid w:val="57170A06"/>
    <w:rsid w:val="57201521"/>
    <w:rsid w:val="572447EF"/>
    <w:rsid w:val="572C68C1"/>
    <w:rsid w:val="573E4F0A"/>
    <w:rsid w:val="573F55D2"/>
    <w:rsid w:val="574A1F08"/>
    <w:rsid w:val="57573499"/>
    <w:rsid w:val="576C6D3A"/>
    <w:rsid w:val="57780B5F"/>
    <w:rsid w:val="57856E07"/>
    <w:rsid w:val="57865AF6"/>
    <w:rsid w:val="57884441"/>
    <w:rsid w:val="57993EFF"/>
    <w:rsid w:val="579E54F9"/>
    <w:rsid w:val="57AA0B0E"/>
    <w:rsid w:val="57BA59D4"/>
    <w:rsid w:val="57BB2BED"/>
    <w:rsid w:val="57BC080A"/>
    <w:rsid w:val="57D8796C"/>
    <w:rsid w:val="57D87EBA"/>
    <w:rsid w:val="57EA2AE3"/>
    <w:rsid w:val="57F4653C"/>
    <w:rsid w:val="58012B8B"/>
    <w:rsid w:val="58161382"/>
    <w:rsid w:val="58220111"/>
    <w:rsid w:val="587E30B9"/>
    <w:rsid w:val="588A52AE"/>
    <w:rsid w:val="58925AF1"/>
    <w:rsid w:val="58A1236A"/>
    <w:rsid w:val="58B13473"/>
    <w:rsid w:val="58B64361"/>
    <w:rsid w:val="58EC1057"/>
    <w:rsid w:val="58F405D8"/>
    <w:rsid w:val="58FC1A24"/>
    <w:rsid w:val="590D4E39"/>
    <w:rsid w:val="591666C9"/>
    <w:rsid w:val="59281D08"/>
    <w:rsid w:val="592C3B4B"/>
    <w:rsid w:val="593710E8"/>
    <w:rsid w:val="59500764"/>
    <w:rsid w:val="595C48AF"/>
    <w:rsid w:val="5970475F"/>
    <w:rsid w:val="597047A6"/>
    <w:rsid w:val="59893794"/>
    <w:rsid w:val="59D27912"/>
    <w:rsid w:val="59EB277C"/>
    <w:rsid w:val="59EE737D"/>
    <w:rsid w:val="5A293AAC"/>
    <w:rsid w:val="5A2F57D9"/>
    <w:rsid w:val="5A302FFE"/>
    <w:rsid w:val="5A321016"/>
    <w:rsid w:val="5A5E37E3"/>
    <w:rsid w:val="5A740BF6"/>
    <w:rsid w:val="5A81238B"/>
    <w:rsid w:val="5A8545C4"/>
    <w:rsid w:val="5A901F57"/>
    <w:rsid w:val="5AB90918"/>
    <w:rsid w:val="5ACC057A"/>
    <w:rsid w:val="5AD55F75"/>
    <w:rsid w:val="5ADD5899"/>
    <w:rsid w:val="5ADD7C85"/>
    <w:rsid w:val="5ADF51F2"/>
    <w:rsid w:val="5AE90FB3"/>
    <w:rsid w:val="5B16625C"/>
    <w:rsid w:val="5B280925"/>
    <w:rsid w:val="5B2D41F1"/>
    <w:rsid w:val="5B3549AF"/>
    <w:rsid w:val="5B396306"/>
    <w:rsid w:val="5B5C6FCD"/>
    <w:rsid w:val="5B7430B7"/>
    <w:rsid w:val="5B8711D8"/>
    <w:rsid w:val="5B8A6CCB"/>
    <w:rsid w:val="5BC648CA"/>
    <w:rsid w:val="5BCE5608"/>
    <w:rsid w:val="5BD92166"/>
    <w:rsid w:val="5BD95CD3"/>
    <w:rsid w:val="5C0A65BE"/>
    <w:rsid w:val="5C275688"/>
    <w:rsid w:val="5C281628"/>
    <w:rsid w:val="5C3A0302"/>
    <w:rsid w:val="5C3E2C48"/>
    <w:rsid w:val="5C4822D4"/>
    <w:rsid w:val="5C4E235C"/>
    <w:rsid w:val="5C532BA5"/>
    <w:rsid w:val="5C55693B"/>
    <w:rsid w:val="5C561826"/>
    <w:rsid w:val="5C6000A4"/>
    <w:rsid w:val="5C6D090F"/>
    <w:rsid w:val="5C953A4E"/>
    <w:rsid w:val="5C9A292F"/>
    <w:rsid w:val="5CB775A8"/>
    <w:rsid w:val="5CBA7D9C"/>
    <w:rsid w:val="5CCC60C6"/>
    <w:rsid w:val="5CCD5CDF"/>
    <w:rsid w:val="5CDD6099"/>
    <w:rsid w:val="5CDF546E"/>
    <w:rsid w:val="5CE7740D"/>
    <w:rsid w:val="5CEC1B6C"/>
    <w:rsid w:val="5CFA2A71"/>
    <w:rsid w:val="5D030EEE"/>
    <w:rsid w:val="5D0F09E4"/>
    <w:rsid w:val="5D1A38EC"/>
    <w:rsid w:val="5D2E3FC8"/>
    <w:rsid w:val="5D3172A9"/>
    <w:rsid w:val="5D3E51EC"/>
    <w:rsid w:val="5D68068E"/>
    <w:rsid w:val="5D796AAC"/>
    <w:rsid w:val="5D976EEC"/>
    <w:rsid w:val="5DB26898"/>
    <w:rsid w:val="5DC8074D"/>
    <w:rsid w:val="5DCA0A78"/>
    <w:rsid w:val="5DCB69F5"/>
    <w:rsid w:val="5DD11793"/>
    <w:rsid w:val="5DE90F56"/>
    <w:rsid w:val="5E0C6609"/>
    <w:rsid w:val="5E0D2FB0"/>
    <w:rsid w:val="5E134CE3"/>
    <w:rsid w:val="5E165E6D"/>
    <w:rsid w:val="5E1D4426"/>
    <w:rsid w:val="5E2037CF"/>
    <w:rsid w:val="5E2B190F"/>
    <w:rsid w:val="5E3D71AC"/>
    <w:rsid w:val="5E452AFB"/>
    <w:rsid w:val="5E457596"/>
    <w:rsid w:val="5E4D0765"/>
    <w:rsid w:val="5E550923"/>
    <w:rsid w:val="5E5A6E9D"/>
    <w:rsid w:val="5E8254A1"/>
    <w:rsid w:val="5E8717ED"/>
    <w:rsid w:val="5E8F0B44"/>
    <w:rsid w:val="5E9806CB"/>
    <w:rsid w:val="5E9973C8"/>
    <w:rsid w:val="5EC1175A"/>
    <w:rsid w:val="5ED51ADE"/>
    <w:rsid w:val="5EE04960"/>
    <w:rsid w:val="5EEC3488"/>
    <w:rsid w:val="5EF06536"/>
    <w:rsid w:val="5EF62943"/>
    <w:rsid w:val="5EF635F0"/>
    <w:rsid w:val="5F2B0A09"/>
    <w:rsid w:val="5F403D9D"/>
    <w:rsid w:val="5F5223FF"/>
    <w:rsid w:val="5F875A34"/>
    <w:rsid w:val="5F8D5E99"/>
    <w:rsid w:val="5F966ABD"/>
    <w:rsid w:val="5F9D714E"/>
    <w:rsid w:val="5FE9376B"/>
    <w:rsid w:val="60046E35"/>
    <w:rsid w:val="60362D51"/>
    <w:rsid w:val="605A7C9E"/>
    <w:rsid w:val="606A5B2A"/>
    <w:rsid w:val="607C23DB"/>
    <w:rsid w:val="6080445F"/>
    <w:rsid w:val="60817BBC"/>
    <w:rsid w:val="60EB2C93"/>
    <w:rsid w:val="61007301"/>
    <w:rsid w:val="61031180"/>
    <w:rsid w:val="61111D51"/>
    <w:rsid w:val="611C5DB1"/>
    <w:rsid w:val="611F2EA9"/>
    <w:rsid w:val="612C1190"/>
    <w:rsid w:val="616468F8"/>
    <w:rsid w:val="61AC454A"/>
    <w:rsid w:val="61CF5854"/>
    <w:rsid w:val="61DF0FEA"/>
    <w:rsid w:val="61EB0C02"/>
    <w:rsid w:val="61FB6FC7"/>
    <w:rsid w:val="62253C05"/>
    <w:rsid w:val="62351783"/>
    <w:rsid w:val="623C77A1"/>
    <w:rsid w:val="624F3CFA"/>
    <w:rsid w:val="62527DA5"/>
    <w:rsid w:val="627C153F"/>
    <w:rsid w:val="629658FC"/>
    <w:rsid w:val="629C4DB1"/>
    <w:rsid w:val="62BB2188"/>
    <w:rsid w:val="62C264B4"/>
    <w:rsid w:val="62ED3276"/>
    <w:rsid w:val="62FA7112"/>
    <w:rsid w:val="62FB3199"/>
    <w:rsid w:val="63073801"/>
    <w:rsid w:val="6367735E"/>
    <w:rsid w:val="637D4DEB"/>
    <w:rsid w:val="637D52B0"/>
    <w:rsid w:val="638B6559"/>
    <w:rsid w:val="63945C3E"/>
    <w:rsid w:val="63C96D02"/>
    <w:rsid w:val="63D64BAB"/>
    <w:rsid w:val="63DE39B7"/>
    <w:rsid w:val="63E543C1"/>
    <w:rsid w:val="63F44D3A"/>
    <w:rsid w:val="64011C7F"/>
    <w:rsid w:val="640D76C0"/>
    <w:rsid w:val="64236CA4"/>
    <w:rsid w:val="642857AE"/>
    <w:rsid w:val="64374636"/>
    <w:rsid w:val="648B1BFD"/>
    <w:rsid w:val="64990D47"/>
    <w:rsid w:val="64A123A9"/>
    <w:rsid w:val="64AD23A7"/>
    <w:rsid w:val="64B10C2C"/>
    <w:rsid w:val="64B14820"/>
    <w:rsid w:val="64C0390D"/>
    <w:rsid w:val="64CF3FF6"/>
    <w:rsid w:val="64D8405B"/>
    <w:rsid w:val="64DB07C6"/>
    <w:rsid w:val="64E279F0"/>
    <w:rsid w:val="64EA220C"/>
    <w:rsid w:val="64EE61FF"/>
    <w:rsid w:val="6513399A"/>
    <w:rsid w:val="65152C15"/>
    <w:rsid w:val="654E2FBF"/>
    <w:rsid w:val="65B15CE6"/>
    <w:rsid w:val="65BF63AB"/>
    <w:rsid w:val="65C24844"/>
    <w:rsid w:val="65C354CE"/>
    <w:rsid w:val="65C80B6E"/>
    <w:rsid w:val="65CE38F7"/>
    <w:rsid w:val="65E14825"/>
    <w:rsid w:val="65F75409"/>
    <w:rsid w:val="66057D75"/>
    <w:rsid w:val="66111B9D"/>
    <w:rsid w:val="662D64D2"/>
    <w:rsid w:val="663660EB"/>
    <w:rsid w:val="664843CC"/>
    <w:rsid w:val="666118DC"/>
    <w:rsid w:val="666461A6"/>
    <w:rsid w:val="66655661"/>
    <w:rsid w:val="667417F6"/>
    <w:rsid w:val="667A2188"/>
    <w:rsid w:val="667C0730"/>
    <w:rsid w:val="66946FBB"/>
    <w:rsid w:val="66D033D4"/>
    <w:rsid w:val="66D06E14"/>
    <w:rsid w:val="66DA1D2A"/>
    <w:rsid w:val="66E71B1D"/>
    <w:rsid w:val="67021C51"/>
    <w:rsid w:val="67097837"/>
    <w:rsid w:val="670F7D5E"/>
    <w:rsid w:val="67240C7C"/>
    <w:rsid w:val="67387E4A"/>
    <w:rsid w:val="673D2D5E"/>
    <w:rsid w:val="674A25E2"/>
    <w:rsid w:val="675168C7"/>
    <w:rsid w:val="67775CAC"/>
    <w:rsid w:val="67A517DB"/>
    <w:rsid w:val="67B334DC"/>
    <w:rsid w:val="67D94D2E"/>
    <w:rsid w:val="67E107BD"/>
    <w:rsid w:val="67F11ED6"/>
    <w:rsid w:val="6805118B"/>
    <w:rsid w:val="681A38D9"/>
    <w:rsid w:val="68572311"/>
    <w:rsid w:val="68625174"/>
    <w:rsid w:val="68760DEA"/>
    <w:rsid w:val="688D235C"/>
    <w:rsid w:val="68C80861"/>
    <w:rsid w:val="68D727A1"/>
    <w:rsid w:val="68E64FE6"/>
    <w:rsid w:val="68EF5DDE"/>
    <w:rsid w:val="690436D8"/>
    <w:rsid w:val="692674EA"/>
    <w:rsid w:val="69283F50"/>
    <w:rsid w:val="692C69F5"/>
    <w:rsid w:val="693844B8"/>
    <w:rsid w:val="693D5C60"/>
    <w:rsid w:val="693E64E7"/>
    <w:rsid w:val="69405848"/>
    <w:rsid w:val="694A0B24"/>
    <w:rsid w:val="694E5350"/>
    <w:rsid w:val="69840655"/>
    <w:rsid w:val="698C59F0"/>
    <w:rsid w:val="69BD2119"/>
    <w:rsid w:val="69BF3FA6"/>
    <w:rsid w:val="69CE74A4"/>
    <w:rsid w:val="69E95F81"/>
    <w:rsid w:val="69F94C66"/>
    <w:rsid w:val="6A0B4AFD"/>
    <w:rsid w:val="6A1870BD"/>
    <w:rsid w:val="6A2A1C37"/>
    <w:rsid w:val="6A3B4A23"/>
    <w:rsid w:val="6A4F63E1"/>
    <w:rsid w:val="6A5E6092"/>
    <w:rsid w:val="6A847A9E"/>
    <w:rsid w:val="6AA413C9"/>
    <w:rsid w:val="6ABD55AD"/>
    <w:rsid w:val="6AC42377"/>
    <w:rsid w:val="6AF020B1"/>
    <w:rsid w:val="6AF34968"/>
    <w:rsid w:val="6AF3767D"/>
    <w:rsid w:val="6AF755A2"/>
    <w:rsid w:val="6B0B2D67"/>
    <w:rsid w:val="6B4D0E74"/>
    <w:rsid w:val="6B4F0D0F"/>
    <w:rsid w:val="6B5136E7"/>
    <w:rsid w:val="6B6B5ECA"/>
    <w:rsid w:val="6B6C570B"/>
    <w:rsid w:val="6B783FDC"/>
    <w:rsid w:val="6B876F24"/>
    <w:rsid w:val="6B922F7B"/>
    <w:rsid w:val="6B9675C5"/>
    <w:rsid w:val="6B9A3E75"/>
    <w:rsid w:val="6BAF3DC9"/>
    <w:rsid w:val="6BB24129"/>
    <w:rsid w:val="6BC849F9"/>
    <w:rsid w:val="6BD467FC"/>
    <w:rsid w:val="6BE02668"/>
    <w:rsid w:val="6BE218E6"/>
    <w:rsid w:val="6BEF7609"/>
    <w:rsid w:val="6C1F3B26"/>
    <w:rsid w:val="6C3469C9"/>
    <w:rsid w:val="6C5F1E1F"/>
    <w:rsid w:val="6C667106"/>
    <w:rsid w:val="6C6F50A9"/>
    <w:rsid w:val="6C805459"/>
    <w:rsid w:val="6C907797"/>
    <w:rsid w:val="6CAB6091"/>
    <w:rsid w:val="6CC230A4"/>
    <w:rsid w:val="6CC53DEB"/>
    <w:rsid w:val="6CD95AB8"/>
    <w:rsid w:val="6CEA50A2"/>
    <w:rsid w:val="6D210E00"/>
    <w:rsid w:val="6D2A3429"/>
    <w:rsid w:val="6D2F4299"/>
    <w:rsid w:val="6D333DC6"/>
    <w:rsid w:val="6D3C1778"/>
    <w:rsid w:val="6D476879"/>
    <w:rsid w:val="6D4A46BB"/>
    <w:rsid w:val="6D5201F9"/>
    <w:rsid w:val="6D622565"/>
    <w:rsid w:val="6D9042B1"/>
    <w:rsid w:val="6D971367"/>
    <w:rsid w:val="6DA83AFA"/>
    <w:rsid w:val="6DA840C3"/>
    <w:rsid w:val="6DB27A3B"/>
    <w:rsid w:val="6DCA545B"/>
    <w:rsid w:val="6DE14724"/>
    <w:rsid w:val="6E082CAB"/>
    <w:rsid w:val="6E114777"/>
    <w:rsid w:val="6E194DD5"/>
    <w:rsid w:val="6E2C7792"/>
    <w:rsid w:val="6E45635D"/>
    <w:rsid w:val="6E6B0590"/>
    <w:rsid w:val="6E7B7566"/>
    <w:rsid w:val="6E924DE8"/>
    <w:rsid w:val="6EA364E9"/>
    <w:rsid w:val="6EAD5420"/>
    <w:rsid w:val="6EB1034A"/>
    <w:rsid w:val="6EB46043"/>
    <w:rsid w:val="6ECE6828"/>
    <w:rsid w:val="6ED13EA2"/>
    <w:rsid w:val="6ED6172E"/>
    <w:rsid w:val="6F001C47"/>
    <w:rsid w:val="6F20670D"/>
    <w:rsid w:val="6F206E8C"/>
    <w:rsid w:val="6F33620A"/>
    <w:rsid w:val="6F420969"/>
    <w:rsid w:val="6F4259AD"/>
    <w:rsid w:val="6F590C2D"/>
    <w:rsid w:val="6F5C7892"/>
    <w:rsid w:val="6F5D1E28"/>
    <w:rsid w:val="6F7655C4"/>
    <w:rsid w:val="6F7800FE"/>
    <w:rsid w:val="6F7B7959"/>
    <w:rsid w:val="6F862A2D"/>
    <w:rsid w:val="6FA4640B"/>
    <w:rsid w:val="6FCE2827"/>
    <w:rsid w:val="6FCF438D"/>
    <w:rsid w:val="6FD05AFF"/>
    <w:rsid w:val="6FD37BAC"/>
    <w:rsid w:val="6FD82DA3"/>
    <w:rsid w:val="6FEE7430"/>
    <w:rsid w:val="6FF165BF"/>
    <w:rsid w:val="6FFE7E49"/>
    <w:rsid w:val="704165E1"/>
    <w:rsid w:val="70460DD2"/>
    <w:rsid w:val="704F5B2D"/>
    <w:rsid w:val="706865F7"/>
    <w:rsid w:val="7069467B"/>
    <w:rsid w:val="70733F53"/>
    <w:rsid w:val="707A1CF5"/>
    <w:rsid w:val="708556B8"/>
    <w:rsid w:val="708639A7"/>
    <w:rsid w:val="708E6429"/>
    <w:rsid w:val="70E153DB"/>
    <w:rsid w:val="70E43FBF"/>
    <w:rsid w:val="70EB0325"/>
    <w:rsid w:val="71185FE1"/>
    <w:rsid w:val="71294C5D"/>
    <w:rsid w:val="712D10E0"/>
    <w:rsid w:val="71422839"/>
    <w:rsid w:val="71515C54"/>
    <w:rsid w:val="717D5C2A"/>
    <w:rsid w:val="7199551E"/>
    <w:rsid w:val="719F79B0"/>
    <w:rsid w:val="71A20F41"/>
    <w:rsid w:val="71A72AF0"/>
    <w:rsid w:val="71B279C0"/>
    <w:rsid w:val="71B905C0"/>
    <w:rsid w:val="71CE5372"/>
    <w:rsid w:val="71E768C2"/>
    <w:rsid w:val="71EE7A69"/>
    <w:rsid w:val="71F00988"/>
    <w:rsid w:val="721E014B"/>
    <w:rsid w:val="723A48A0"/>
    <w:rsid w:val="72403F1F"/>
    <w:rsid w:val="72437F8B"/>
    <w:rsid w:val="72457D96"/>
    <w:rsid w:val="724E5F64"/>
    <w:rsid w:val="724F3A3B"/>
    <w:rsid w:val="72533ED7"/>
    <w:rsid w:val="72630FEF"/>
    <w:rsid w:val="72746733"/>
    <w:rsid w:val="72812842"/>
    <w:rsid w:val="72984DF8"/>
    <w:rsid w:val="72A152A2"/>
    <w:rsid w:val="72BF19B3"/>
    <w:rsid w:val="72D559AD"/>
    <w:rsid w:val="72E30C7F"/>
    <w:rsid w:val="72F94194"/>
    <w:rsid w:val="73043E3F"/>
    <w:rsid w:val="730936E0"/>
    <w:rsid w:val="730971D0"/>
    <w:rsid w:val="731977F3"/>
    <w:rsid w:val="73326A8A"/>
    <w:rsid w:val="7337769F"/>
    <w:rsid w:val="7338789F"/>
    <w:rsid w:val="733D3E06"/>
    <w:rsid w:val="734A4AE6"/>
    <w:rsid w:val="734A6AA6"/>
    <w:rsid w:val="73586838"/>
    <w:rsid w:val="73595E73"/>
    <w:rsid w:val="73771904"/>
    <w:rsid w:val="73BE4DF5"/>
    <w:rsid w:val="741203C8"/>
    <w:rsid w:val="74242B2D"/>
    <w:rsid w:val="742D6B13"/>
    <w:rsid w:val="7432466D"/>
    <w:rsid w:val="74447D18"/>
    <w:rsid w:val="7446632A"/>
    <w:rsid w:val="74521A5D"/>
    <w:rsid w:val="74563626"/>
    <w:rsid w:val="74697E69"/>
    <w:rsid w:val="747131BB"/>
    <w:rsid w:val="74753105"/>
    <w:rsid w:val="747E1420"/>
    <w:rsid w:val="748549B7"/>
    <w:rsid w:val="748B71DB"/>
    <w:rsid w:val="748C0B99"/>
    <w:rsid w:val="749724B9"/>
    <w:rsid w:val="74B55D10"/>
    <w:rsid w:val="74B70859"/>
    <w:rsid w:val="74FF51CE"/>
    <w:rsid w:val="75073C41"/>
    <w:rsid w:val="75296BD9"/>
    <w:rsid w:val="752F7773"/>
    <w:rsid w:val="756458B1"/>
    <w:rsid w:val="7567025D"/>
    <w:rsid w:val="756D3E86"/>
    <w:rsid w:val="75716D25"/>
    <w:rsid w:val="757875D5"/>
    <w:rsid w:val="75824561"/>
    <w:rsid w:val="759F607C"/>
    <w:rsid w:val="75A7154A"/>
    <w:rsid w:val="75C816B2"/>
    <w:rsid w:val="75CF34C4"/>
    <w:rsid w:val="75EA2A13"/>
    <w:rsid w:val="76020A07"/>
    <w:rsid w:val="76120196"/>
    <w:rsid w:val="76172844"/>
    <w:rsid w:val="762B7071"/>
    <w:rsid w:val="76517ABA"/>
    <w:rsid w:val="76592E52"/>
    <w:rsid w:val="766571C2"/>
    <w:rsid w:val="76674A08"/>
    <w:rsid w:val="766D792A"/>
    <w:rsid w:val="76826371"/>
    <w:rsid w:val="7691363E"/>
    <w:rsid w:val="76926936"/>
    <w:rsid w:val="76A35793"/>
    <w:rsid w:val="76B51078"/>
    <w:rsid w:val="76CA2AA7"/>
    <w:rsid w:val="770C1260"/>
    <w:rsid w:val="771866CA"/>
    <w:rsid w:val="771922C1"/>
    <w:rsid w:val="771E79BF"/>
    <w:rsid w:val="773C4086"/>
    <w:rsid w:val="774C2FF4"/>
    <w:rsid w:val="774E33C8"/>
    <w:rsid w:val="7756677A"/>
    <w:rsid w:val="77601733"/>
    <w:rsid w:val="77633CDF"/>
    <w:rsid w:val="776C3A0B"/>
    <w:rsid w:val="77707E62"/>
    <w:rsid w:val="77764EDB"/>
    <w:rsid w:val="77781C39"/>
    <w:rsid w:val="779D493C"/>
    <w:rsid w:val="77A63161"/>
    <w:rsid w:val="77BD1A4F"/>
    <w:rsid w:val="77DB44AA"/>
    <w:rsid w:val="77DE24AA"/>
    <w:rsid w:val="77F82870"/>
    <w:rsid w:val="780048EE"/>
    <w:rsid w:val="780F16FC"/>
    <w:rsid w:val="781362B2"/>
    <w:rsid w:val="7815400D"/>
    <w:rsid w:val="781E0715"/>
    <w:rsid w:val="78254EE2"/>
    <w:rsid w:val="783249C6"/>
    <w:rsid w:val="78385E42"/>
    <w:rsid w:val="783D276A"/>
    <w:rsid w:val="784B4DD8"/>
    <w:rsid w:val="785822F1"/>
    <w:rsid w:val="78757AB5"/>
    <w:rsid w:val="787F3343"/>
    <w:rsid w:val="78874956"/>
    <w:rsid w:val="788B7386"/>
    <w:rsid w:val="78904985"/>
    <w:rsid w:val="78966694"/>
    <w:rsid w:val="78AB5C43"/>
    <w:rsid w:val="78B3438A"/>
    <w:rsid w:val="78D50A0E"/>
    <w:rsid w:val="78DE298D"/>
    <w:rsid w:val="78E800B8"/>
    <w:rsid w:val="78F45691"/>
    <w:rsid w:val="78FB3070"/>
    <w:rsid w:val="790B10F2"/>
    <w:rsid w:val="79145815"/>
    <w:rsid w:val="792167EA"/>
    <w:rsid w:val="792E56B4"/>
    <w:rsid w:val="796179EF"/>
    <w:rsid w:val="796D7DE1"/>
    <w:rsid w:val="796F32A2"/>
    <w:rsid w:val="797B307C"/>
    <w:rsid w:val="798177ED"/>
    <w:rsid w:val="79AE5D71"/>
    <w:rsid w:val="79E7763B"/>
    <w:rsid w:val="7A25148A"/>
    <w:rsid w:val="7A301B34"/>
    <w:rsid w:val="7A3D3FD5"/>
    <w:rsid w:val="7A4E520C"/>
    <w:rsid w:val="7A741FB5"/>
    <w:rsid w:val="7A8D1B84"/>
    <w:rsid w:val="7A8D678E"/>
    <w:rsid w:val="7A94555F"/>
    <w:rsid w:val="7AD81093"/>
    <w:rsid w:val="7AEA7616"/>
    <w:rsid w:val="7B196709"/>
    <w:rsid w:val="7B5F2D56"/>
    <w:rsid w:val="7B615DFB"/>
    <w:rsid w:val="7B646E38"/>
    <w:rsid w:val="7B7457D0"/>
    <w:rsid w:val="7B841A35"/>
    <w:rsid w:val="7BBB6CBC"/>
    <w:rsid w:val="7BE074DC"/>
    <w:rsid w:val="7BFB51FE"/>
    <w:rsid w:val="7BFE37B9"/>
    <w:rsid w:val="7C000401"/>
    <w:rsid w:val="7C0B677A"/>
    <w:rsid w:val="7C0F06D6"/>
    <w:rsid w:val="7C1D0E9C"/>
    <w:rsid w:val="7C2D6263"/>
    <w:rsid w:val="7C376A3B"/>
    <w:rsid w:val="7C417552"/>
    <w:rsid w:val="7C476872"/>
    <w:rsid w:val="7C515881"/>
    <w:rsid w:val="7C866EFE"/>
    <w:rsid w:val="7C940282"/>
    <w:rsid w:val="7CA21C8A"/>
    <w:rsid w:val="7CBF2600"/>
    <w:rsid w:val="7CD640A2"/>
    <w:rsid w:val="7CDA0EE7"/>
    <w:rsid w:val="7CEE1FD3"/>
    <w:rsid w:val="7CF9134A"/>
    <w:rsid w:val="7D062F15"/>
    <w:rsid w:val="7D134390"/>
    <w:rsid w:val="7D1F6BD7"/>
    <w:rsid w:val="7D623BAF"/>
    <w:rsid w:val="7D653516"/>
    <w:rsid w:val="7D6C0E17"/>
    <w:rsid w:val="7D730CDE"/>
    <w:rsid w:val="7D9112D6"/>
    <w:rsid w:val="7D9A5180"/>
    <w:rsid w:val="7DB5670D"/>
    <w:rsid w:val="7DBA7854"/>
    <w:rsid w:val="7DF43174"/>
    <w:rsid w:val="7E016B5F"/>
    <w:rsid w:val="7E0F51A9"/>
    <w:rsid w:val="7E1352BE"/>
    <w:rsid w:val="7E1E7508"/>
    <w:rsid w:val="7E2257AD"/>
    <w:rsid w:val="7E3C434B"/>
    <w:rsid w:val="7E427C80"/>
    <w:rsid w:val="7E456679"/>
    <w:rsid w:val="7E471022"/>
    <w:rsid w:val="7E545CE0"/>
    <w:rsid w:val="7E62219A"/>
    <w:rsid w:val="7E6D0391"/>
    <w:rsid w:val="7E7E4B34"/>
    <w:rsid w:val="7E885133"/>
    <w:rsid w:val="7E8D663F"/>
    <w:rsid w:val="7E9115EF"/>
    <w:rsid w:val="7E941A99"/>
    <w:rsid w:val="7ED30C0C"/>
    <w:rsid w:val="7EF127D4"/>
    <w:rsid w:val="7F005EF6"/>
    <w:rsid w:val="7F25635B"/>
    <w:rsid w:val="7F257EA7"/>
    <w:rsid w:val="7F266433"/>
    <w:rsid w:val="7F3C0A6B"/>
    <w:rsid w:val="7F3D7AF6"/>
    <w:rsid w:val="7F3F79E5"/>
    <w:rsid w:val="7F4245BE"/>
    <w:rsid w:val="7F5E340E"/>
    <w:rsid w:val="7F7C4195"/>
    <w:rsid w:val="7F902275"/>
    <w:rsid w:val="7FA0420F"/>
    <w:rsid w:val="7FA80B96"/>
    <w:rsid w:val="7FAA2964"/>
    <w:rsid w:val="7FBD5C2A"/>
    <w:rsid w:val="7FD33CBE"/>
    <w:rsid w:val="7FEB0680"/>
    <w:rsid w:val="7FFA184F"/>
    <w:rsid w:val="7FFF0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4">
    <w:name w:val="heading 2"/>
    <w:basedOn w:val="1"/>
    <w:next w:val="1"/>
    <w:link w:val="37"/>
    <w:qFormat/>
    <w:uiPriority w:val="0"/>
    <w:pPr>
      <w:keepNext/>
      <w:keepLines/>
      <w:adjustRightInd w:val="0"/>
      <w:snapToGrid w:val="0"/>
      <w:ind w:firstLine="200" w:firstLineChars="200"/>
      <w:jc w:val="left"/>
      <w:outlineLvl w:val="1"/>
    </w:pPr>
    <w:rPr>
      <w:rFonts w:ascii="宋体" w:hAnsi="宋体"/>
      <w:b/>
      <w:color w:val="943734"/>
      <w:kern w:val="0"/>
      <w:sz w:val="28"/>
    </w:rPr>
  </w:style>
  <w:style w:type="paragraph" w:styleId="5">
    <w:name w:val="heading 3"/>
    <w:basedOn w:val="1"/>
    <w:next w:val="1"/>
    <w:qFormat/>
    <w:uiPriority w:val="0"/>
    <w:pPr>
      <w:keepNext/>
      <w:keepLines/>
      <w:spacing w:line="560" w:lineRule="exact"/>
      <w:outlineLvl w:val="2"/>
    </w:pPr>
    <w:rPr>
      <w:rFonts w:eastAsia="方正楷体_GBK"/>
      <w:b/>
      <w:bCs/>
      <w:szCs w:val="32"/>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41"/>
    <w:unhideWhenUsed/>
    <w:qFormat/>
    <w:uiPriority w:val="0"/>
    <w:rPr>
      <w:rFonts w:ascii="Calibri" w:hAnsi="Calibri" w:eastAsia="宋体"/>
      <w:sz w:val="18"/>
      <w:szCs w:val="18"/>
    </w:rPr>
  </w:style>
  <w:style w:type="paragraph" w:styleId="6">
    <w:name w:val="annotation text"/>
    <w:basedOn w:val="1"/>
    <w:next w:val="7"/>
    <w:qFormat/>
    <w:uiPriority w:val="0"/>
    <w:pPr>
      <w:jc w:val="left"/>
    </w:pPr>
  </w:style>
  <w:style w:type="paragraph" w:styleId="7">
    <w:name w:val="annotation subject"/>
    <w:next w:val="6"/>
    <w:qFormat/>
    <w:uiPriority w:val="0"/>
    <w:pPr>
      <w:widowControl w:val="0"/>
    </w:pPr>
    <w:rPr>
      <w:rFonts w:ascii="Times New Roman" w:hAnsi="Times New Roman" w:eastAsia="宋体" w:cs="Times New Roman"/>
      <w:b/>
      <w:sz w:val="21"/>
      <w:lang w:val="en-US" w:eastAsia="zh-CN" w:bidi="ar-SA"/>
    </w:rPr>
  </w:style>
  <w:style w:type="paragraph" w:styleId="8">
    <w:name w:val="Body Text"/>
    <w:basedOn w:val="1"/>
    <w:next w:val="9"/>
    <w:link w:val="39"/>
    <w:qFormat/>
    <w:uiPriority w:val="0"/>
  </w:style>
  <w:style w:type="paragraph" w:customStyle="1" w:styleId="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10">
    <w:name w:val="Body Text Indent"/>
    <w:basedOn w:val="1"/>
    <w:qFormat/>
    <w:uiPriority w:val="0"/>
    <w:pPr>
      <w:spacing w:line="700" w:lineRule="exact"/>
      <w:ind w:left="960"/>
    </w:pPr>
    <w:rPr>
      <w:rFonts w:ascii="Calibri" w:hAnsi="Calibri"/>
      <w:sz w:val="4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next w:val="16"/>
    <w:qFormat/>
    <w:uiPriority w:val="0"/>
    <w:pPr>
      <w:tabs>
        <w:tab w:val="center" w:pos="4153"/>
        <w:tab w:val="right" w:pos="8306"/>
      </w:tabs>
      <w:snapToGrid w:val="0"/>
      <w:jc w:val="left"/>
    </w:pPr>
    <w:rPr>
      <w:sz w:val="18"/>
    </w:rPr>
  </w:style>
  <w:style w:type="paragraph" w:customStyle="1" w:styleId="16">
    <w:name w:val="索引 51"/>
    <w:basedOn w:val="1"/>
    <w:next w:val="1"/>
    <w:qFormat/>
    <w:uiPriority w:val="99"/>
    <w:pPr>
      <w:ind w:left="1680"/>
    </w:p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jc w:val="left"/>
    </w:pPr>
    <w:rPr>
      <w:b/>
      <w:bCs/>
      <w:caps/>
      <w:sz w:val="20"/>
    </w:rPr>
  </w:style>
  <w:style w:type="paragraph" w:styleId="19">
    <w:name w:val="footnote text"/>
    <w:basedOn w:val="1"/>
    <w:qFormat/>
    <w:uiPriority w:val="0"/>
    <w:pPr>
      <w:snapToGrid w:val="0"/>
      <w:jc w:val="left"/>
    </w:pPr>
    <w:rPr>
      <w:rFonts w:hint="eastAsia" w:ascii="等线" w:hAnsi="等线" w:eastAsia="等线"/>
      <w:sz w:val="18"/>
      <w:szCs w:val="22"/>
    </w:rPr>
  </w:style>
  <w:style w:type="paragraph" w:styleId="20">
    <w:name w:val="toc 2"/>
    <w:basedOn w:val="1"/>
    <w:next w:val="1"/>
    <w:qFormat/>
    <w:uiPriority w:val="39"/>
    <w:pPr>
      <w:ind w:left="420" w:leftChars="200"/>
    </w:pPr>
  </w:style>
  <w:style w:type="paragraph" w:styleId="21">
    <w:name w:val="Normal (Web)"/>
    <w:basedOn w:val="1"/>
    <w:qFormat/>
    <w:uiPriority w:val="0"/>
    <w:pPr>
      <w:widowControl/>
      <w:jc w:val="left"/>
    </w:pPr>
    <w:rPr>
      <w:rFonts w:ascii="宋体" w:hAnsi="宋体" w:cs="宋体"/>
      <w:kern w:val="0"/>
    </w:rPr>
  </w:style>
  <w:style w:type="paragraph" w:styleId="22">
    <w:name w:val="Title"/>
    <w:basedOn w:val="1"/>
    <w:qFormat/>
    <w:uiPriority w:val="0"/>
    <w:pPr>
      <w:widowControl/>
      <w:spacing w:after="240" w:line="360" w:lineRule="auto"/>
      <w:jc w:val="center"/>
    </w:pPr>
    <w:rPr>
      <w:rFonts w:ascii="Arial" w:hAnsi="Arial"/>
      <w:b/>
      <w:smallCaps/>
      <w:kern w:val="28"/>
      <w:sz w:val="36"/>
      <w:szCs w:val="20"/>
      <w:lang w:eastAsia="en-US"/>
    </w:rPr>
  </w:style>
  <w:style w:type="paragraph" w:styleId="23">
    <w:name w:val="Body Text First Indent"/>
    <w:basedOn w:val="8"/>
    <w:qFormat/>
    <w:uiPriority w:val="0"/>
    <w:pPr>
      <w:spacing w:line="360" w:lineRule="auto"/>
      <w:ind w:firstLine="420"/>
    </w:pPr>
    <w:rPr>
      <w:rFonts w:ascii="宋体" w:hAnsi="宋体"/>
    </w:rPr>
  </w:style>
  <w:style w:type="paragraph" w:styleId="24">
    <w:name w:val="Body Text First Indent 2"/>
    <w:basedOn w:val="10"/>
    <w:qFormat/>
    <w:uiPriority w:val="0"/>
    <w:pPr>
      <w:spacing w:line="240" w:lineRule="auto"/>
      <w:ind w:left="420" w:leftChars="200" w:firstLine="420" w:firstLineChars="200"/>
    </w:pPr>
    <w:rPr>
      <w:rFonts w:ascii="Times New Roman" w:hAnsi="Times New Roman"/>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paragraph" w:styleId="3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6">
    <w:name w:val="正文1"/>
    <w:basedOn w:val="1"/>
    <w:next w:val="1"/>
    <w:qFormat/>
    <w:uiPriority w:val="0"/>
    <w:pPr>
      <w:spacing w:line="300" w:lineRule="auto"/>
      <w:ind w:firstLine="200" w:firstLineChars="200"/>
    </w:pPr>
    <w:rPr>
      <w:sz w:val="24"/>
    </w:rPr>
  </w:style>
  <w:style w:type="character" w:customStyle="1" w:styleId="37">
    <w:name w:val="标题 2 Char1"/>
    <w:link w:val="4"/>
    <w:qFormat/>
    <w:uiPriority w:val="0"/>
    <w:rPr>
      <w:rFonts w:ascii="宋体" w:hAnsi="宋体" w:eastAsia="方正仿宋_GBK"/>
      <w:b/>
      <w:color w:val="943734"/>
      <w:sz w:val="28"/>
    </w:rPr>
  </w:style>
  <w:style w:type="character" w:customStyle="1" w:styleId="38">
    <w:name w:val="NormalCharacter"/>
    <w:qFormat/>
    <w:uiPriority w:val="0"/>
    <w:rPr>
      <w:rFonts w:eastAsia="方正仿宋_GBK"/>
      <w:kern w:val="2"/>
      <w:sz w:val="24"/>
      <w:lang w:val="en-US" w:eastAsia="zh-CN" w:bidi="ar-SA"/>
    </w:rPr>
  </w:style>
  <w:style w:type="character" w:customStyle="1" w:styleId="39">
    <w:name w:val="正文文本 Char"/>
    <w:link w:val="8"/>
    <w:qFormat/>
    <w:uiPriority w:val="0"/>
    <w:rPr>
      <w:rFonts w:eastAsia="方正仿宋_GBK"/>
      <w:kern w:val="2"/>
      <w:sz w:val="24"/>
    </w:rPr>
  </w:style>
  <w:style w:type="character" w:customStyle="1" w:styleId="40">
    <w:name w:val="标题 2 Char"/>
    <w:qFormat/>
    <w:uiPriority w:val="0"/>
    <w:rPr>
      <w:rFonts w:ascii="宋体" w:hAnsi="宋体" w:eastAsia="方正仿宋_GBK"/>
      <w:b/>
      <w:sz w:val="28"/>
    </w:rPr>
  </w:style>
  <w:style w:type="character" w:customStyle="1" w:styleId="41">
    <w:name w:val="批注框文本 Char"/>
    <w:link w:val="2"/>
    <w:qFormat/>
    <w:uiPriority w:val="0"/>
    <w:rPr>
      <w:rFonts w:hint="default" w:ascii="Calibri" w:hAnsi="Calibri" w:cs="Calibri"/>
      <w:kern w:val="2"/>
      <w:sz w:val="18"/>
      <w:szCs w:val="18"/>
    </w:rPr>
  </w:style>
  <w:style w:type="character" w:customStyle="1" w:styleId="42">
    <w:name w:val="标题 2 字符"/>
    <w:qFormat/>
    <w:uiPriority w:val="0"/>
    <w:rPr>
      <w:rFonts w:ascii="等线 Light" w:hAnsi="等线 Light" w:eastAsia="等线 Light" w:cs="Times New Roman"/>
      <w:b/>
      <w:kern w:val="2"/>
      <w:sz w:val="32"/>
      <w:szCs w:val="32"/>
    </w:rPr>
  </w:style>
  <w:style w:type="character" w:customStyle="1" w:styleId="43">
    <w:name w:val="正文字 字符"/>
    <w:link w:val="44"/>
    <w:qFormat/>
    <w:uiPriority w:val="0"/>
    <w:rPr>
      <w:rFonts w:ascii="方正仿宋_GBK" w:hAnsi="宋体" w:eastAsia="方正仿宋_GBK"/>
      <w:kern w:val="2"/>
      <w:sz w:val="24"/>
      <w:szCs w:val="24"/>
    </w:rPr>
  </w:style>
  <w:style w:type="paragraph" w:customStyle="1" w:styleId="44">
    <w:name w:val="正文字"/>
    <w:basedOn w:val="1"/>
    <w:link w:val="43"/>
    <w:qFormat/>
    <w:uiPriority w:val="0"/>
    <w:pPr>
      <w:snapToGrid w:val="0"/>
      <w:spacing w:line="400" w:lineRule="exact"/>
      <w:ind w:firstLine="480" w:firstLineChars="200"/>
    </w:pPr>
    <w:rPr>
      <w:rFonts w:ascii="方正仿宋_GBK" w:hAnsi="宋体"/>
      <w:szCs w:val="24"/>
    </w:rPr>
  </w:style>
  <w:style w:type="paragraph" w:customStyle="1" w:styleId="45">
    <w:name w:val="列出段落1"/>
    <w:basedOn w:val="1"/>
    <w:qFormat/>
    <w:uiPriority w:val="99"/>
    <w:pPr>
      <w:ind w:firstLine="420" w:firstLineChars="200"/>
    </w:pPr>
    <w:rPr>
      <w:rFonts w:ascii="Calibri" w:hAnsi="Calibri"/>
      <w:sz w:val="28"/>
    </w:rPr>
  </w:style>
  <w:style w:type="paragraph" w:customStyle="1" w:styleId="46">
    <w:name w:val="正文缩进1"/>
    <w:basedOn w:val="1"/>
    <w:qFormat/>
    <w:uiPriority w:val="0"/>
    <w:pPr>
      <w:ind w:firstLine="420" w:firstLineChars="200"/>
    </w:pPr>
    <w:rPr>
      <w:sz w:val="32"/>
    </w:rPr>
  </w:style>
  <w:style w:type="paragraph" w:customStyle="1" w:styleId="47">
    <w:name w:val="1"/>
    <w:basedOn w:val="1"/>
    <w:next w:val="12"/>
    <w:qFormat/>
    <w:uiPriority w:val="0"/>
    <w:rPr>
      <w:rFonts w:ascii="宋体" w:hAnsi="Courier New"/>
      <w:sz w:val="21"/>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_Style 41"/>
    <w:basedOn w:val="3"/>
    <w:next w:val="1"/>
    <w:qFormat/>
    <w:uiPriority w:val="39"/>
    <w:pPr>
      <w:keepLines/>
      <w:widowControl/>
      <w:tabs>
        <w:tab w:val="clear" w:pos="3360"/>
      </w:tabs>
      <w:snapToGrid/>
      <w:spacing w:beforeLines="0" w:afterLines="0" w:line="259" w:lineRule="auto"/>
      <w:jc w:val="left"/>
      <w:outlineLvl w:val="9"/>
    </w:pPr>
    <w:rPr>
      <w:rFonts w:ascii="Calibri Light" w:hAnsi="Calibri Light" w:eastAsia="宋体"/>
      <w:color w:val="2E74B5"/>
      <w:kern w:val="0"/>
      <w:sz w:val="32"/>
      <w:szCs w:val="32"/>
    </w:rPr>
  </w:style>
  <w:style w:type="paragraph" w:customStyle="1" w:styleId="50">
    <w:name w:val="Other|1"/>
    <w:basedOn w:val="1"/>
    <w:qFormat/>
    <w:uiPriority w:val="0"/>
    <w:pPr>
      <w:spacing w:after="90" w:line="449" w:lineRule="auto"/>
      <w:ind w:firstLine="400"/>
    </w:pPr>
    <w:rPr>
      <w:rFonts w:ascii="宋体" w:hAnsi="宋体" w:cs="宋体"/>
      <w:sz w:val="28"/>
      <w:szCs w:val="28"/>
      <w:lang w:val="zh-TW" w:eastAsia="zh-TW" w:bidi="zh-TW"/>
    </w:rPr>
  </w:style>
  <w:style w:type="paragraph" w:customStyle="1" w:styleId="51">
    <w:name w:val="Heading1"/>
    <w:basedOn w:val="1"/>
    <w:next w:val="1"/>
    <w:qFormat/>
    <w:uiPriority w:val="0"/>
    <w:pPr>
      <w:keepNext/>
      <w:tabs>
        <w:tab w:val="left" w:pos="3360"/>
      </w:tabs>
      <w:snapToGrid w:val="0"/>
      <w:spacing w:before="312" w:after="156" w:line="800" w:lineRule="atLeast"/>
      <w:jc w:val="center"/>
      <w:textAlignment w:val="baseline"/>
    </w:pPr>
    <w:rPr>
      <w:rFonts w:eastAsia="黑体"/>
      <w:sz w:val="44"/>
    </w:rPr>
  </w:style>
  <w:style w:type="paragraph" w:customStyle="1" w:styleId="5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图例"/>
    <w:basedOn w:val="1"/>
    <w:qFormat/>
    <w:uiPriority w:val="0"/>
    <w:pPr>
      <w:spacing w:line="360" w:lineRule="auto"/>
      <w:jc w:val="center"/>
    </w:pPr>
    <w:rPr>
      <w:rFonts w:eastAsia="仿宋_GB2312"/>
      <w:b/>
    </w:rPr>
  </w:style>
  <w:style w:type="paragraph" w:customStyle="1" w:styleId="55">
    <w:name w:val="TOC1"/>
    <w:basedOn w:val="1"/>
    <w:next w:val="1"/>
    <w:qFormat/>
    <w:uiPriority w:val="0"/>
    <w:pPr>
      <w:jc w:val="left"/>
      <w:textAlignment w:val="baseline"/>
    </w:pPr>
    <w:rPr>
      <w:b/>
      <w:bCs/>
      <w:caps/>
      <w:sz w:val="20"/>
    </w:rPr>
  </w:style>
  <w:style w:type="paragraph" w:customStyle="1" w:styleId="56">
    <w:name w:val="List Paragraph1"/>
    <w:basedOn w:val="1"/>
    <w:qFormat/>
    <w:uiPriority w:val="0"/>
    <w:pPr>
      <w:ind w:firstLine="420" w:firstLineChars="200"/>
    </w:pPr>
    <w:rPr>
      <w:rFonts w:ascii="Calibri" w:hAnsi="Calibri"/>
      <w:sz w:val="21"/>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rPr>
      <w:rFonts w:ascii="仿宋" w:hAnsi="仿宋" w:eastAsia="仿宋" w:cs="仿宋"/>
      <w:lang w:val="zh-CN" w:bidi="zh-CN"/>
    </w:rPr>
  </w:style>
  <w:style w:type="character" w:customStyle="1" w:styleId="59">
    <w:name w:val="15"/>
    <w:basedOn w:val="27"/>
    <w:qFormat/>
    <w:uiPriority w:val="0"/>
    <w:rPr>
      <w:rFonts w:hint="default" w:ascii="Times New Roman" w:hAnsi="Times New Roman" w:cs="Times New Roman"/>
    </w:rPr>
  </w:style>
  <w:style w:type="character" w:customStyle="1" w:styleId="60">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4010</Words>
  <Characters>22857</Characters>
  <Lines>1</Lines>
  <Paragraphs>1</Paragraphs>
  <TotalTime>1</TotalTime>
  <ScaleCrop>false</ScaleCrop>
  <LinksUpToDate>false</LinksUpToDate>
  <CharactersWithSpaces>26814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2022-07-06T07:39:00Z</dcterms:created>
  <dc:creator>Administrator</dc:creator>
  <cp:lastModifiedBy>吴衡1</cp:lastModifiedBy>
  <cp:lastPrinted>2023-09-21T01:05:50Z</cp:lastPrinted>
  <dcterms:modified xsi:type="dcterms:W3CDTF">2023-09-21T01:18:50Z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574B131FFD224DD29CEEEA3FB090EE13</vt:lpwstr>
  </property>
</Properties>
</file>