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distribute"/>
        <w:rPr>
          <w:rFonts w:ascii="方正黑体_GBK" w:hAnsi="宋体" w:eastAsia="方正黑体_GBK"/>
          <w:color w:val="auto"/>
          <w:spacing w:val="20"/>
          <w:sz w:val="112"/>
          <w:szCs w:val="112"/>
          <w:highlight w:val="none"/>
        </w:rPr>
      </w:pPr>
    </w:p>
    <w:p>
      <w:pPr>
        <w:jc w:val="distribute"/>
        <w:rPr>
          <w:rFonts w:ascii="方正黑体_GBK" w:hAnsi="宋体" w:eastAsia="方正黑体_GBK"/>
          <w:color w:val="auto"/>
          <w:spacing w:val="20"/>
          <w:sz w:val="112"/>
          <w:szCs w:val="112"/>
          <w:highlight w:val="none"/>
        </w:rPr>
      </w:pPr>
      <w:r>
        <w:rPr>
          <w:rFonts w:hint="eastAsia" w:ascii="方正黑体_GBK" w:hAnsi="宋体" w:eastAsia="方正黑体_GBK"/>
          <w:color w:val="auto"/>
          <w:spacing w:val="20"/>
          <w:sz w:val="112"/>
          <w:szCs w:val="112"/>
          <w:highlight w:val="none"/>
          <w:lang w:eastAsia="zh-CN"/>
        </w:rPr>
        <w:t>比选</w:t>
      </w:r>
      <w:r>
        <w:rPr>
          <w:rFonts w:hint="eastAsia" w:ascii="方正黑体_GBK" w:hAnsi="宋体" w:eastAsia="方正黑体_GBK"/>
          <w:color w:val="auto"/>
          <w:spacing w:val="20"/>
          <w:sz w:val="112"/>
          <w:szCs w:val="112"/>
          <w:highlight w:val="none"/>
        </w:rPr>
        <w:t>文件</w:t>
      </w: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ind w:left="3042" w:leftChars="866" w:hanging="964" w:hangingChars="300"/>
        <w:jc w:val="left"/>
        <w:rPr>
          <w:rFonts w:hint="eastAsia" w:ascii="方正仿宋_GBK" w:hAnsi="宋体" w:eastAsia="仿宋"/>
          <w:b/>
          <w:color w:val="auto"/>
          <w:sz w:val="32"/>
          <w:szCs w:val="28"/>
          <w:highlight w:val="none"/>
          <w:lang w:val="en-US" w:eastAsia="zh-CN"/>
        </w:rPr>
      </w:pPr>
      <w:r>
        <w:rPr>
          <w:rFonts w:hint="eastAsia" w:ascii="方正仿宋_GBK" w:hAnsi="宋体" w:eastAsia="仿宋"/>
          <w:b/>
          <w:color w:val="auto"/>
          <w:sz w:val="32"/>
          <w:szCs w:val="28"/>
          <w:highlight w:val="none"/>
        </w:rPr>
        <w:t>项 目 号：</w:t>
      </w:r>
      <w:r>
        <w:rPr>
          <w:rFonts w:hint="eastAsia" w:ascii="方正小标宋_GBK" w:eastAsia="方正小标宋_GBK" w:cs="Times New Roman"/>
          <w:color w:val="auto"/>
          <w:sz w:val="30"/>
          <w:szCs w:val="30"/>
          <w:highlight w:val="none"/>
          <w:lang w:val="en-US" w:eastAsia="zh-CN" w:bidi="ar-SA"/>
        </w:rPr>
        <w:t>BNQHXYY2023043</w:t>
      </w:r>
      <w:r>
        <w:rPr>
          <w:rFonts w:hint="eastAsia" w:ascii="方正仿宋_GBK" w:hAnsi="宋体" w:eastAsia="仿宋"/>
          <w:b/>
          <w:color w:val="auto"/>
          <w:sz w:val="32"/>
          <w:szCs w:val="28"/>
          <w:highlight w:val="none"/>
        </w:rPr>
        <w:t xml:space="preserve"> </w:t>
      </w:r>
    </w:p>
    <w:p>
      <w:pPr>
        <w:ind w:left="3042" w:leftChars="866" w:hanging="964" w:hangingChars="300"/>
        <w:jc w:val="left"/>
        <w:rPr>
          <w:rFonts w:hint="eastAsia" w:ascii="方正仿宋_GBK" w:hAnsi="宋体" w:eastAsia="仿宋"/>
          <w:b/>
          <w:color w:val="auto"/>
          <w:sz w:val="32"/>
          <w:szCs w:val="28"/>
          <w:highlight w:val="none"/>
          <w:lang w:eastAsia="zh-CN"/>
        </w:rPr>
      </w:pPr>
      <w:r>
        <w:rPr>
          <w:rFonts w:hint="eastAsia" w:ascii="方正仿宋_GBK" w:hAnsi="宋体" w:eastAsia="仿宋"/>
          <w:b/>
          <w:color w:val="auto"/>
          <w:sz w:val="32"/>
          <w:szCs w:val="28"/>
          <w:highlight w:val="none"/>
        </w:rPr>
        <w:t>项目名称：</w:t>
      </w:r>
      <w:r>
        <w:rPr>
          <w:rFonts w:hint="eastAsia" w:ascii="方正小标宋_GBK" w:eastAsia="方正小标宋_GBK"/>
          <w:color w:val="auto"/>
          <w:sz w:val="30"/>
          <w:szCs w:val="30"/>
          <w:highlight w:val="none"/>
          <w:lang w:val="en-US" w:eastAsia="zh-CN"/>
        </w:rPr>
        <w:t>食堂外包</w:t>
      </w:r>
      <w:r>
        <w:rPr>
          <w:rFonts w:hint="eastAsia" w:ascii="方正小标宋_GBK" w:eastAsia="方正小标宋_GBK"/>
          <w:color w:val="auto"/>
          <w:sz w:val="30"/>
          <w:szCs w:val="30"/>
          <w:highlight w:val="none"/>
          <w:lang w:eastAsia="zh-CN"/>
        </w:rPr>
        <w:t>项目</w:t>
      </w:r>
    </w:p>
    <w:p>
      <w:pPr>
        <w:spacing w:line="520" w:lineRule="exact"/>
        <w:jc w:val="left"/>
        <w:rPr>
          <w:rFonts w:ascii="方正仿宋_GBK" w:hAnsi="宋体" w:eastAsia="仿宋"/>
          <w:b/>
          <w:color w:val="auto"/>
          <w:sz w:val="32"/>
          <w:szCs w:val="28"/>
          <w:highlight w:val="none"/>
        </w:rPr>
      </w:pPr>
    </w:p>
    <w:p>
      <w:pPr>
        <w:spacing w:line="520" w:lineRule="exact"/>
        <w:jc w:val="left"/>
        <w:rPr>
          <w:rFonts w:ascii="方正仿宋_GBK" w:hAnsi="宋体" w:eastAsia="仿宋"/>
          <w:b/>
          <w:color w:val="auto"/>
          <w:sz w:val="32"/>
          <w:szCs w:val="28"/>
          <w:highlight w:val="none"/>
        </w:rPr>
      </w:pPr>
    </w:p>
    <w:p>
      <w:pPr>
        <w:pStyle w:val="23"/>
        <w:rPr>
          <w:color w:val="auto"/>
          <w:sz w:val="22"/>
          <w:szCs w:val="18"/>
          <w:highlight w:val="none"/>
        </w:rPr>
      </w:pPr>
    </w:p>
    <w:p>
      <w:pPr>
        <w:spacing w:line="520" w:lineRule="exact"/>
        <w:jc w:val="left"/>
        <w:rPr>
          <w:rFonts w:ascii="方正仿宋_GBK" w:hAnsi="宋体" w:eastAsia="仿宋"/>
          <w:b/>
          <w:color w:val="auto"/>
          <w:sz w:val="32"/>
          <w:szCs w:val="28"/>
          <w:highlight w:val="none"/>
        </w:rPr>
      </w:pPr>
    </w:p>
    <w:p>
      <w:pPr>
        <w:ind w:left="3684" w:leftChars="866" w:hanging="1606" w:hangingChars="500"/>
        <w:jc w:val="left"/>
        <w:rPr>
          <w:rFonts w:ascii="方正仿宋_GBK" w:hAnsi="宋体" w:eastAsia="仿宋"/>
          <w:b/>
          <w:color w:val="auto"/>
          <w:sz w:val="32"/>
          <w:szCs w:val="28"/>
          <w:highlight w:val="none"/>
        </w:rPr>
      </w:pPr>
      <w:r>
        <w:rPr>
          <w:rFonts w:hint="eastAsia" w:ascii="方正仿宋_GBK" w:hAnsi="宋体" w:eastAsia="仿宋"/>
          <w:b/>
          <w:color w:val="auto"/>
          <w:sz w:val="32"/>
          <w:szCs w:val="28"/>
          <w:highlight w:val="none"/>
        </w:rPr>
        <w:t>采购人：重庆市巴南区第二人民医院</w:t>
      </w:r>
    </w:p>
    <w:p>
      <w:pPr>
        <w:spacing w:line="520" w:lineRule="exact"/>
        <w:ind w:firstLine="480" w:firstLineChars="200"/>
        <w:jc w:val="left"/>
        <w:rPr>
          <w:rFonts w:ascii="宋体" w:hAnsi="宋体" w:eastAsia="仿宋" w:cs="宋体"/>
          <w:color w:val="auto"/>
          <w:szCs w:val="28"/>
          <w:highlight w:val="none"/>
        </w:rPr>
      </w:pPr>
    </w:p>
    <w:p>
      <w:pPr>
        <w:spacing w:line="520" w:lineRule="exact"/>
        <w:ind w:firstLine="480" w:firstLineChars="200"/>
        <w:jc w:val="left"/>
        <w:rPr>
          <w:rFonts w:ascii="宋体" w:hAnsi="宋体" w:eastAsia="仿宋" w:cs="宋体"/>
          <w:color w:val="auto"/>
          <w:szCs w:val="28"/>
          <w:highlight w:val="none"/>
        </w:rPr>
      </w:pPr>
    </w:p>
    <w:p>
      <w:pPr>
        <w:spacing w:line="520" w:lineRule="exact"/>
        <w:jc w:val="center"/>
        <w:rPr>
          <w:rFonts w:hint="eastAsia" w:ascii="仿宋" w:hAnsi="仿宋" w:eastAsia="仿宋" w:cs="仿宋"/>
          <w:color w:val="auto"/>
          <w:sz w:val="24"/>
          <w:szCs w:val="24"/>
          <w:highlight w:val="none"/>
        </w:rPr>
        <w:sectPr>
          <w:headerReference r:id="rId3" w:type="default"/>
          <w:footerReference r:id="rId4" w:type="default"/>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方正仿宋_GBK" w:hAnsi="宋体" w:eastAsia="仿宋"/>
          <w:b/>
          <w:color w:val="auto"/>
          <w:sz w:val="36"/>
          <w:szCs w:val="30"/>
          <w:highlight w:val="none"/>
        </w:rPr>
        <w:t>二〇二</w:t>
      </w:r>
      <w:r>
        <w:rPr>
          <w:rFonts w:hint="eastAsia" w:ascii="方正仿宋_GBK" w:hAnsi="宋体" w:eastAsia="仿宋"/>
          <w:b/>
          <w:color w:val="auto"/>
          <w:sz w:val="36"/>
          <w:szCs w:val="30"/>
          <w:highlight w:val="none"/>
          <w:lang w:eastAsia="zh-CN"/>
        </w:rPr>
        <w:t>三</w:t>
      </w:r>
      <w:r>
        <w:rPr>
          <w:rFonts w:hint="eastAsia" w:ascii="方正仿宋_GBK" w:hAnsi="宋体" w:eastAsia="仿宋"/>
          <w:b/>
          <w:color w:val="auto"/>
          <w:sz w:val="36"/>
          <w:szCs w:val="30"/>
          <w:highlight w:val="none"/>
        </w:rPr>
        <w:t>年</w:t>
      </w:r>
      <w:r>
        <w:rPr>
          <w:rFonts w:hint="eastAsia" w:ascii="方正仿宋_GBK" w:hAnsi="宋体" w:eastAsia="仿宋"/>
          <w:b/>
          <w:color w:val="auto"/>
          <w:sz w:val="36"/>
          <w:szCs w:val="30"/>
          <w:highlight w:val="none"/>
          <w:lang w:eastAsia="zh-CN"/>
        </w:rPr>
        <w:t>十二</w:t>
      </w:r>
      <w:r>
        <w:rPr>
          <w:rFonts w:hint="eastAsia" w:ascii="方正仿宋_GBK" w:hAnsi="宋体" w:eastAsia="仿宋"/>
          <w:b/>
          <w:color w:val="auto"/>
          <w:sz w:val="36"/>
          <w:szCs w:val="30"/>
          <w:highlight w:val="none"/>
        </w:rPr>
        <w:t>月</w:t>
      </w:r>
      <w:bookmarkStart w:id="0" w:name="_Toc19087"/>
      <w:bookmarkStart w:id="1" w:name="_Toc31222"/>
      <w:bookmarkStart w:id="2" w:name="_Toc17236"/>
      <w:bookmarkStart w:id="3" w:name="_Toc31259"/>
      <w:bookmarkStart w:id="4" w:name="_Toc1349"/>
      <w:bookmarkStart w:id="5" w:name="_Toc28414"/>
      <w:bookmarkStart w:id="6" w:name="_Toc48837294"/>
      <w:bookmarkStart w:id="7" w:name="_Toc884"/>
      <w:bookmarkStart w:id="8" w:name="_Toc15652"/>
      <w:bookmarkStart w:id="9" w:name="_Toc29247"/>
      <w:bookmarkStart w:id="10" w:name="_Toc10860"/>
      <w:bookmarkStart w:id="11" w:name="_Toc409189607"/>
      <w:bookmarkStart w:id="12" w:name="_Toc384905063"/>
      <w:bookmarkStart w:id="13" w:name="_Toc22748"/>
      <w:bookmarkStart w:id="14" w:name="_Toc18640"/>
      <w:bookmarkStart w:id="15" w:name="_Toc26422"/>
      <w:bookmarkStart w:id="16" w:name="_Toc32674"/>
      <w:bookmarkStart w:id="17" w:name="_Toc20400"/>
      <w:bookmarkStart w:id="18" w:name="_Toc23082"/>
    </w:p>
    <w:p>
      <w:pPr>
        <w:pStyle w:val="3"/>
        <w:numPr>
          <w:ilvl w:val="0"/>
          <w:numId w:val="0"/>
        </w:numPr>
        <w:tabs>
          <w:tab w:val="clear" w:pos="3360"/>
        </w:tabs>
        <w:spacing w:before="120" w:after="120"/>
        <w:ind w:leftChars="0" w:firstLine="3352" w:firstLineChars="800"/>
        <w:jc w:val="both"/>
        <w:rPr>
          <w:rFonts w:hint="eastAsia"/>
          <w:color w:val="auto"/>
          <w:szCs w:val="22"/>
          <w:highlight w:val="none"/>
        </w:rPr>
      </w:pPr>
      <w:bookmarkStart w:id="19" w:name="_Toc23899"/>
      <w:bookmarkStart w:id="20" w:name="_Toc25124"/>
      <w:bookmarkStart w:id="21" w:name="_Toc26243"/>
      <w:bookmarkStart w:id="22" w:name="_Toc10856"/>
      <w:bookmarkStart w:id="23" w:name="_Toc9938"/>
      <w:bookmarkStart w:id="24" w:name="_Toc31954"/>
      <w:bookmarkStart w:id="25" w:name="_Toc6324"/>
      <w:bookmarkStart w:id="26" w:name="_Toc12112"/>
      <w:bookmarkStart w:id="27" w:name="_Toc28504"/>
      <w:bookmarkStart w:id="28" w:name="_Toc17834"/>
      <w:bookmarkStart w:id="29" w:name="_Toc28927"/>
      <w:r>
        <w:rPr>
          <w:rFonts w:hint="eastAsia"/>
          <w:color w:val="auto"/>
          <w:szCs w:val="22"/>
          <w:highlight w:val="none"/>
          <w:lang w:eastAsia="zh-CN"/>
        </w:rPr>
        <w:t>第一篇</w:t>
      </w:r>
      <w:r>
        <w:rPr>
          <w:rFonts w:hint="eastAsia"/>
          <w:color w:val="auto"/>
          <w:szCs w:val="22"/>
          <w:highlight w:val="none"/>
          <w:lang w:val="en-US" w:eastAsia="zh-CN"/>
        </w:rPr>
        <w:t xml:space="preserve"> </w:t>
      </w:r>
      <w:r>
        <w:rPr>
          <w:rFonts w:hint="eastAsia"/>
          <w:color w:val="auto"/>
          <w:szCs w:val="22"/>
          <w:highlight w:val="none"/>
        </w:rPr>
        <w:t>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bookmarkStart w:id="30" w:name="_Toc20641"/>
      <w:bookmarkStart w:id="31" w:name="_Toc22913"/>
      <w:bookmarkStart w:id="32" w:name="_Toc9401"/>
      <w:bookmarkStart w:id="33" w:name="_Toc12339"/>
      <w:bookmarkStart w:id="34" w:name="_Toc12926"/>
      <w:bookmarkStart w:id="35" w:name="_Toc496021253"/>
      <w:bookmarkStart w:id="36" w:name="_Toc17527"/>
      <w:bookmarkStart w:id="37" w:name="_Toc14384"/>
      <w:bookmarkStart w:id="38" w:name="_Toc394390667"/>
      <w:bookmarkStart w:id="39" w:name="_Toc409189608"/>
      <w:bookmarkStart w:id="40" w:name="_Toc28983"/>
      <w:bookmarkStart w:id="41" w:name="_Toc25274"/>
      <w:bookmarkStart w:id="42" w:name="_Toc22920"/>
      <w:bookmarkStart w:id="43" w:name="_Toc10904"/>
      <w:bookmarkStart w:id="44" w:name="_Toc48837295"/>
      <w:bookmarkStart w:id="45" w:name="_Toc9329"/>
      <w:bookmarkStart w:id="46" w:name="_Toc8661"/>
      <w:bookmarkStart w:id="47" w:name="_Toc29073"/>
      <w:bookmarkStart w:id="48" w:name="_Toc22466"/>
      <w:bookmarkStart w:id="49" w:name="_Toc8724"/>
      <w:bookmarkStart w:id="50" w:name="_Toc7453"/>
      <w:bookmarkStart w:id="51" w:name="_Toc30770"/>
      <w:bookmarkStart w:id="52" w:name="_Toc20340"/>
      <w:bookmarkStart w:id="53" w:name="_Toc28969"/>
      <w:bookmarkStart w:id="54" w:name="_Toc24733"/>
      <w:bookmarkStart w:id="55" w:name="_Toc22879"/>
      <w:bookmarkStart w:id="56" w:name="_Toc25215"/>
      <w:bookmarkStart w:id="57" w:name="_Toc14688"/>
      <w:bookmarkStart w:id="58" w:name="_Toc12869"/>
      <w:bookmarkStart w:id="59" w:name="_Toc24079"/>
      <w:r>
        <w:rPr>
          <w:rFonts w:hint="eastAsia" w:ascii="仿宋" w:hAnsi="仿宋" w:eastAsia="仿宋" w:cs="仿宋"/>
          <w:color w:val="auto"/>
          <w:highlight w:val="none"/>
        </w:rPr>
        <w:t>重庆市</w:t>
      </w:r>
      <w:r>
        <w:rPr>
          <w:rFonts w:hint="eastAsia" w:ascii="仿宋" w:hAnsi="仿宋" w:eastAsia="仿宋" w:cs="仿宋"/>
          <w:color w:val="auto"/>
          <w:highlight w:val="none"/>
          <w:lang w:eastAsia="zh-CN"/>
        </w:rPr>
        <w:t>巴南</w:t>
      </w:r>
      <w:r>
        <w:rPr>
          <w:rFonts w:hint="eastAsia" w:ascii="仿宋" w:hAnsi="仿宋" w:eastAsia="仿宋" w:cs="仿宋"/>
          <w:color w:val="auto"/>
          <w:highlight w:val="none"/>
        </w:rPr>
        <w:t>区</w:t>
      </w:r>
      <w:r>
        <w:rPr>
          <w:rFonts w:hint="eastAsia" w:ascii="仿宋" w:hAnsi="仿宋" w:eastAsia="仿宋" w:cs="仿宋"/>
          <w:color w:val="auto"/>
          <w:highlight w:val="none"/>
          <w:lang w:eastAsia="zh-CN"/>
        </w:rPr>
        <w:t>第二人民医院</w:t>
      </w:r>
      <w:r>
        <w:rPr>
          <w:rFonts w:hint="eastAsia" w:ascii="仿宋" w:hAnsi="仿宋" w:eastAsia="仿宋" w:cs="仿宋"/>
          <w:color w:val="auto"/>
          <w:highlight w:val="none"/>
        </w:rPr>
        <w:t>对食堂外包项目以</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方式实行采购，欢迎有资格的</w:t>
      </w:r>
      <w:r>
        <w:rPr>
          <w:rFonts w:hint="eastAsia" w:ascii="仿宋" w:hAnsi="仿宋" w:eastAsia="仿宋" w:cs="仿宋"/>
          <w:color w:val="auto"/>
          <w:highlight w:val="none"/>
          <w:lang w:eastAsia="zh-CN"/>
        </w:rPr>
        <w:t>参比人</w:t>
      </w:r>
      <w:r>
        <w:rPr>
          <w:rFonts w:hint="eastAsia" w:ascii="仿宋" w:hAnsi="仿宋" w:eastAsia="仿宋" w:cs="仿宋"/>
          <w:color w:val="auto"/>
          <w:highlight w:val="none"/>
        </w:rPr>
        <w:t>前来参与</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w:t>
      </w:r>
      <w:bookmarkEnd w:id="30"/>
      <w:bookmarkEnd w:id="31"/>
      <w:bookmarkEnd w:id="32"/>
      <w:bookmarkEnd w:id="33"/>
      <w:bookmarkEnd w:id="34"/>
      <w:bookmarkEnd w:id="35"/>
      <w:bookmarkEnd w:id="36"/>
      <w:bookmarkEnd w:id="37"/>
      <w:bookmarkEnd w:id="38"/>
      <w:bookmarkEnd w:id="39"/>
      <w:bookmarkEnd w:id="40"/>
      <w:r>
        <w:rPr>
          <w:rFonts w:hint="eastAsia" w:ascii="仿宋" w:hAnsi="仿宋" w:eastAsia="仿宋" w:cs="仿宋"/>
          <w:b/>
          <w:bCs/>
          <w:color w:val="auto"/>
          <w:szCs w:val="28"/>
          <w:highlight w:val="none"/>
          <w:lang w:eastAsia="zh-CN"/>
        </w:rPr>
        <w:t>比选</w:t>
      </w:r>
      <w:r>
        <w:rPr>
          <w:rFonts w:hint="eastAsia" w:ascii="仿宋" w:hAnsi="仿宋" w:eastAsia="仿宋" w:cs="仿宋"/>
          <w:b/>
          <w:bCs/>
          <w:color w:val="auto"/>
          <w:szCs w:val="28"/>
          <w:highlight w:val="none"/>
        </w:rPr>
        <w:t>内容</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Style w:val="2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68"/>
        <w:gridCol w:w="2682"/>
        <w:gridCol w:w="172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3368"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b/>
                <w:bCs/>
                <w:color w:val="auto"/>
                <w:szCs w:val="18"/>
                <w:highlight w:val="none"/>
              </w:rPr>
            </w:pPr>
            <w:bookmarkStart w:id="60" w:name="_Toc17801"/>
            <w:bookmarkStart w:id="61" w:name="_Toc28493"/>
            <w:bookmarkStart w:id="62" w:name="_Toc25113"/>
            <w:bookmarkStart w:id="63" w:name="_Toc15377"/>
            <w:bookmarkStart w:id="64" w:name="_Toc21812"/>
            <w:bookmarkStart w:id="65" w:name="_Toc48837296"/>
            <w:bookmarkStart w:id="66" w:name="_Toc409189609"/>
            <w:bookmarkStart w:id="67" w:name="_Toc29325"/>
            <w:bookmarkStart w:id="68" w:name="_Toc24335"/>
            <w:bookmarkStart w:id="69" w:name="_Toc16154"/>
            <w:bookmarkStart w:id="70" w:name="_Toc18183"/>
            <w:bookmarkStart w:id="71" w:name="_Toc17029"/>
            <w:bookmarkStart w:id="72" w:name="_Toc20059"/>
            <w:bookmarkStart w:id="73" w:name="_Toc394390668"/>
            <w:bookmarkStart w:id="74" w:name="_Toc31035"/>
            <w:bookmarkStart w:id="75" w:name="_Toc30285"/>
            <w:r>
              <w:rPr>
                <w:rFonts w:hint="eastAsia" w:ascii="仿宋" w:hAnsi="仿宋" w:eastAsia="仿宋" w:cs="仿宋"/>
                <w:b/>
                <w:bCs/>
                <w:color w:val="auto"/>
                <w:sz w:val="21"/>
                <w:szCs w:val="21"/>
                <w:highlight w:val="none"/>
              </w:rPr>
              <w:t>项目名称</w:t>
            </w:r>
          </w:p>
        </w:tc>
        <w:tc>
          <w:tcPr>
            <w:tcW w:w="2682"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b/>
                <w:bCs/>
                <w:color w:val="auto"/>
                <w:szCs w:val="18"/>
                <w:highlight w:val="none"/>
                <w:lang w:eastAsia="zh-CN"/>
              </w:rPr>
            </w:pPr>
            <w:r>
              <w:rPr>
                <w:rFonts w:hint="eastAsia" w:ascii="仿宋" w:hAnsi="仿宋" w:eastAsia="仿宋" w:cs="仿宋"/>
                <w:b/>
                <w:bCs/>
                <w:color w:val="auto"/>
                <w:sz w:val="21"/>
                <w:szCs w:val="21"/>
                <w:highlight w:val="none"/>
                <w:lang w:eastAsia="zh-CN"/>
              </w:rPr>
              <w:t>成交人数量</w:t>
            </w:r>
          </w:p>
        </w:tc>
        <w:tc>
          <w:tcPr>
            <w:tcW w:w="1729"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b/>
                <w:bCs/>
                <w:color w:val="auto"/>
                <w:szCs w:val="18"/>
                <w:highlight w:val="none"/>
                <w:lang w:eastAsia="zh-CN"/>
              </w:rPr>
            </w:pPr>
            <w:r>
              <w:rPr>
                <w:rFonts w:hint="eastAsia" w:ascii="仿宋" w:hAnsi="仿宋" w:eastAsia="仿宋" w:cs="仿宋"/>
                <w:b/>
                <w:bCs/>
                <w:color w:val="auto"/>
                <w:szCs w:val="18"/>
                <w:highlight w:val="none"/>
                <w:lang w:eastAsia="zh-CN"/>
              </w:rPr>
              <w:t>期限</w:t>
            </w:r>
          </w:p>
        </w:tc>
        <w:tc>
          <w:tcPr>
            <w:tcW w:w="1729"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3368" w:type="dxa"/>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2"/>
                <w:szCs w:val="16"/>
                <w:highlight w:val="none"/>
              </w:rPr>
            </w:pPr>
            <w:r>
              <w:rPr>
                <w:rFonts w:hint="eastAsia" w:ascii="仿宋" w:hAnsi="仿宋" w:eastAsia="仿宋" w:cs="仿宋"/>
                <w:color w:val="auto"/>
                <w:szCs w:val="20"/>
                <w:highlight w:val="none"/>
              </w:rPr>
              <w:t>重庆市巴南区第二人民医院食堂外包项目</w:t>
            </w:r>
          </w:p>
        </w:tc>
        <w:tc>
          <w:tcPr>
            <w:tcW w:w="2682"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color w:val="auto"/>
                <w:sz w:val="22"/>
                <w:szCs w:val="16"/>
                <w:highlight w:val="none"/>
                <w:lang w:val="en-US" w:eastAsia="zh-CN"/>
              </w:rPr>
            </w:pPr>
            <w:r>
              <w:rPr>
                <w:rFonts w:hint="eastAsia" w:ascii="仿宋" w:hAnsi="仿宋" w:eastAsia="仿宋" w:cs="仿宋"/>
                <w:color w:val="auto"/>
                <w:sz w:val="21"/>
                <w:szCs w:val="21"/>
                <w:highlight w:val="none"/>
                <w:lang w:val="en-US" w:eastAsia="zh-CN"/>
              </w:rPr>
              <w:t>1</w:t>
            </w:r>
          </w:p>
        </w:tc>
        <w:tc>
          <w:tcPr>
            <w:tcW w:w="1729"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default" w:ascii="仿宋" w:hAnsi="仿宋" w:eastAsia="仿宋" w:cs="仿宋"/>
                <w:color w:val="auto"/>
                <w:sz w:val="22"/>
                <w:szCs w:val="16"/>
                <w:highlight w:val="none"/>
                <w:lang w:val="en-US" w:eastAsia="zh-CN"/>
              </w:rPr>
            </w:pPr>
            <w:r>
              <w:rPr>
                <w:rFonts w:hint="eastAsia" w:ascii="仿宋" w:hAnsi="仿宋" w:eastAsia="仿宋" w:cs="仿宋"/>
                <w:color w:val="auto"/>
                <w:sz w:val="22"/>
                <w:szCs w:val="16"/>
                <w:highlight w:val="none"/>
                <w:lang w:val="en-US" w:eastAsia="zh-CN"/>
              </w:rPr>
              <w:t>2年</w:t>
            </w:r>
          </w:p>
        </w:tc>
        <w:tc>
          <w:tcPr>
            <w:tcW w:w="1729"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color w:val="auto"/>
                <w:sz w:val="22"/>
                <w:szCs w:val="16"/>
                <w:highlight w:val="none"/>
                <w:lang w:val="en-US" w:eastAsia="zh-CN"/>
              </w:rPr>
            </w:pPr>
          </w:p>
        </w:tc>
      </w:tr>
    </w:tbl>
    <w:p>
      <w:pPr>
        <w:spacing w:before="156" w:after="156" w:line="520" w:lineRule="exact"/>
        <w:ind w:firstLine="438" w:firstLineChars="200"/>
        <w:jc w:val="left"/>
        <w:outlineLvl w:val="1"/>
        <w:rPr>
          <w:rFonts w:hint="eastAsia" w:ascii="仿宋" w:hAnsi="仿宋" w:eastAsia="仿宋" w:cs="仿宋"/>
          <w:b/>
          <w:bCs/>
          <w:color w:val="auto"/>
          <w:szCs w:val="28"/>
          <w:highlight w:val="none"/>
        </w:rPr>
      </w:pPr>
      <w:bookmarkStart w:id="76" w:name="_Toc31943"/>
      <w:bookmarkStart w:id="77" w:name="_Toc23138"/>
      <w:bookmarkStart w:id="78" w:name="_Toc5178"/>
      <w:bookmarkStart w:id="79" w:name="_Toc3588"/>
      <w:bookmarkStart w:id="80" w:name="_Toc29226"/>
      <w:bookmarkStart w:id="81" w:name="_Toc1319"/>
      <w:bookmarkStart w:id="82" w:name="_Toc19222"/>
      <w:bookmarkStart w:id="83" w:name="_Toc112"/>
      <w:bookmarkStart w:id="84" w:name="_Toc17952"/>
      <w:bookmarkStart w:id="85" w:name="_Toc24696"/>
      <w:bookmarkStart w:id="86" w:name="_Toc12117"/>
      <w:bookmarkStart w:id="87" w:name="_Toc18246"/>
      <w:bookmarkStart w:id="88" w:name="_Toc21142"/>
      <w:r>
        <w:rPr>
          <w:rFonts w:hint="eastAsia" w:ascii="仿宋" w:hAnsi="仿宋" w:eastAsia="仿宋" w:cs="仿宋"/>
          <w:b/>
          <w:bCs/>
          <w:color w:val="auto"/>
          <w:szCs w:val="28"/>
          <w:highlight w:val="none"/>
        </w:rPr>
        <w:t>二、资金来源</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lang w:eastAsia="zh-CN"/>
        </w:rPr>
      </w:pPr>
      <w:bookmarkStart w:id="89" w:name="_Toc31349"/>
      <w:bookmarkStart w:id="90" w:name="_Toc25413"/>
      <w:bookmarkStart w:id="91" w:name="_Toc16524"/>
      <w:bookmarkStart w:id="92" w:name="_Toc30892"/>
      <w:bookmarkStart w:id="93" w:name="_Toc32431"/>
      <w:bookmarkStart w:id="94" w:name="_Toc10636"/>
      <w:bookmarkStart w:id="95" w:name="_Toc23551"/>
      <w:bookmarkStart w:id="96" w:name="_Toc22463"/>
      <w:bookmarkStart w:id="97" w:name="_Toc685"/>
      <w:bookmarkStart w:id="98" w:name="_Toc25550"/>
      <w:bookmarkStart w:id="99" w:name="_Toc21671"/>
      <w:bookmarkStart w:id="100" w:name="_Toc409189610"/>
      <w:bookmarkStart w:id="101" w:name="_Toc26038"/>
      <w:bookmarkStart w:id="102" w:name="_Toc22134"/>
      <w:bookmarkStart w:id="103" w:name="_Toc19744"/>
      <w:bookmarkStart w:id="104" w:name="_Toc30163"/>
      <w:bookmarkStart w:id="105" w:name="_Toc14169"/>
      <w:bookmarkStart w:id="106" w:name="_Toc16627"/>
      <w:bookmarkStart w:id="107" w:name="_Toc6307"/>
      <w:bookmarkStart w:id="108" w:name="_Toc48837297"/>
      <w:bookmarkStart w:id="109" w:name="_Toc394390669"/>
      <w:bookmarkStart w:id="110" w:name="_Toc13049"/>
      <w:bookmarkStart w:id="111" w:name="_Toc258"/>
      <w:bookmarkStart w:id="112" w:name="_Toc31670"/>
      <w:bookmarkStart w:id="113" w:name="_Toc19995"/>
      <w:bookmarkStart w:id="114" w:name="_Toc10858"/>
      <w:bookmarkStart w:id="115" w:name="_Toc21414"/>
      <w:bookmarkStart w:id="116" w:name="_Toc17739"/>
      <w:bookmarkStart w:id="117" w:name="_Toc3717"/>
      <w:r>
        <w:rPr>
          <w:rFonts w:hint="eastAsia" w:ascii="仿宋" w:hAnsi="仿宋" w:eastAsia="仿宋" w:cs="仿宋"/>
          <w:color w:val="auto"/>
          <w:highlight w:val="none"/>
          <w:lang w:eastAsia="zh-CN"/>
        </w:rPr>
        <w:t>单位自筹</w:t>
      </w:r>
      <w:r>
        <w:rPr>
          <w:rFonts w:hint="eastAsia" w:ascii="仿宋" w:hAnsi="仿宋" w:eastAsia="仿宋" w:cs="仿宋"/>
          <w:color w:val="auto"/>
          <w:highlight w:val="none"/>
        </w:rPr>
        <w:t>资金</w:t>
      </w:r>
      <w:r>
        <w:rPr>
          <w:rFonts w:hint="eastAsia" w:ascii="仿宋" w:hAnsi="仿宋" w:eastAsia="仿宋" w:cs="仿宋"/>
          <w:color w:val="auto"/>
          <w:highlight w:val="none"/>
          <w:lang w:eastAsia="zh-CN"/>
        </w:rPr>
        <w:t>。</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cs="仿宋"/>
          <w:b/>
          <w:bCs/>
          <w:color w:val="auto"/>
          <w:szCs w:val="28"/>
          <w:highlight w:val="none"/>
        </w:rPr>
        <w:t>供应商资格条件</w:t>
      </w:r>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bookmarkStart w:id="118" w:name="_Toc7315"/>
      <w:bookmarkStart w:id="119" w:name="_Toc22648"/>
      <w:bookmarkStart w:id="120" w:name="_Toc31947"/>
      <w:bookmarkStart w:id="121" w:name="_Toc7718"/>
      <w:bookmarkStart w:id="122" w:name="_Toc9628"/>
      <w:bookmarkStart w:id="123" w:name="_Toc14905"/>
      <w:bookmarkStart w:id="124" w:name="_Toc28595"/>
      <w:bookmarkStart w:id="125" w:name="_Toc15713"/>
      <w:bookmarkStart w:id="126" w:name="_Toc48837298"/>
      <w:bookmarkStart w:id="127" w:name="_Toc12349"/>
      <w:bookmarkStart w:id="128" w:name="_Toc9364"/>
      <w:bookmarkStart w:id="129" w:name="_Toc409189611"/>
      <w:bookmarkStart w:id="130" w:name="_Toc27155"/>
      <w:bookmarkStart w:id="131" w:name="_Toc3161"/>
      <w:bookmarkStart w:id="132" w:name="_Toc19479"/>
      <w:bookmarkStart w:id="133" w:name="_Toc23925"/>
      <w:bookmarkStart w:id="134" w:name="_Toc7978"/>
      <w:bookmarkStart w:id="135" w:name="_Toc18923"/>
      <w:bookmarkStart w:id="136" w:name="_Toc6106"/>
      <w:bookmarkStart w:id="137" w:name="_Toc10223"/>
      <w:bookmarkStart w:id="138" w:name="_Toc3030"/>
      <w:bookmarkStart w:id="139" w:name="_Toc3317"/>
      <w:bookmarkStart w:id="140" w:name="_Toc28624"/>
      <w:bookmarkStart w:id="141" w:name="_Toc28826"/>
      <w:bookmarkStart w:id="142" w:name="_Toc26381"/>
      <w:bookmarkStart w:id="143" w:name="_Toc18238"/>
      <w:bookmarkStart w:id="144" w:name="_Toc7370"/>
      <w:bookmarkStart w:id="145" w:name="_Toc4736"/>
      <w:r>
        <w:rPr>
          <w:rFonts w:hint="eastAsia" w:ascii="仿宋" w:hAnsi="仿宋" w:eastAsia="仿宋" w:cs="仿宋"/>
          <w:color w:val="auto"/>
          <w:highlight w:val="none"/>
        </w:rPr>
        <w:t>合格</w:t>
      </w:r>
      <w:r>
        <w:rPr>
          <w:rFonts w:hint="eastAsia" w:ascii="仿宋" w:hAnsi="仿宋" w:eastAsia="仿宋" w:cs="仿宋"/>
          <w:color w:val="auto"/>
          <w:highlight w:val="none"/>
          <w:lang w:eastAsia="zh-CN"/>
        </w:rPr>
        <w:t>参比人</w:t>
      </w:r>
      <w:r>
        <w:rPr>
          <w:rFonts w:hint="eastAsia" w:ascii="仿宋" w:hAnsi="仿宋" w:eastAsia="仿宋" w:cs="仿宋"/>
          <w:color w:val="auto"/>
          <w:highlight w:val="none"/>
        </w:rPr>
        <w:t>应首先</w:t>
      </w:r>
      <w:r>
        <w:rPr>
          <w:rFonts w:hint="eastAsia" w:ascii="仿宋" w:hAnsi="仿宋" w:eastAsia="仿宋" w:cs="仿宋"/>
          <w:color w:val="auto"/>
          <w:highlight w:val="none"/>
          <w:lang w:eastAsia="zh-CN"/>
        </w:rPr>
        <w:t>满足</w:t>
      </w:r>
      <w:r>
        <w:rPr>
          <w:rFonts w:hint="eastAsia" w:ascii="方正仿宋_GBK" w:hAnsi="宋体" w:eastAsia="方正仿宋_GBK"/>
          <w:color w:val="auto"/>
          <w:sz w:val="24"/>
          <w:szCs w:val="24"/>
          <w:highlight w:val="none"/>
        </w:rPr>
        <w:t>《中华人民共和国政府采购法》</w:t>
      </w:r>
      <w:r>
        <w:rPr>
          <w:rFonts w:hint="eastAsia" w:ascii="仿宋" w:hAnsi="仿宋" w:eastAsia="仿宋" w:cs="仿宋"/>
          <w:color w:val="auto"/>
          <w:highlight w:val="none"/>
        </w:rPr>
        <w:t>第二十二条规定的基本条件，同时符合根据该项目特点设置的特定资格条件。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（一）基本资格条件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）特定资格条件（复印件加盖</w:t>
      </w:r>
      <w:r>
        <w:rPr>
          <w:rFonts w:hint="eastAsia" w:ascii="仿宋" w:hAnsi="仿宋" w:eastAsia="仿宋" w:cs="仿宋"/>
          <w:color w:val="auto"/>
          <w:highlight w:val="none"/>
          <w:lang w:eastAsia="zh-CN"/>
        </w:rPr>
        <w:t>参比人</w:t>
      </w:r>
      <w:r>
        <w:rPr>
          <w:rFonts w:hint="eastAsia" w:ascii="仿宋" w:hAnsi="仿宋" w:eastAsia="仿宋" w:cs="仿宋"/>
          <w:color w:val="auto"/>
          <w:highlight w:val="none"/>
        </w:rPr>
        <w:t>鲜章）</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营业执照经营范围必须包含餐饮管理或餐饮服务</w:t>
      </w:r>
      <w:r>
        <w:rPr>
          <w:rFonts w:hint="eastAsia" w:ascii="仿宋" w:hAnsi="仿宋" w:eastAsia="仿宋" w:cs="仿宋"/>
          <w:color w:val="auto"/>
          <w:highlight w:val="none"/>
          <w:lang w:val="en-US" w:eastAsia="zh-CN"/>
        </w:rPr>
        <w:t>、日用百货销售（含类似）。</w:t>
      </w:r>
      <w:r>
        <w:rPr>
          <w:rFonts w:hint="eastAsia" w:ascii="仿宋" w:hAnsi="仿宋" w:eastAsia="仿宋" w:cs="仿宋"/>
          <w:color w:val="auto"/>
          <w:highlight w:val="none"/>
        </w:rPr>
        <w:t>(提供营业照复印件)；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2.具备餐饮服务许可证或食品经营许可证（提供复印件）； </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3.近三年在经营活动中未发生过食品安全事故（提供承诺书，加盖参比人公章）。</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4.参比人应提供的各种证件中的法人代表为同一人。</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b/>
          <w:bCs/>
          <w:color w:val="auto"/>
          <w:szCs w:val="28"/>
          <w:highlight w:val="none"/>
          <w:lang w:eastAsia="zh-CN"/>
        </w:rPr>
      </w:pPr>
      <w:r>
        <w:rPr>
          <w:rFonts w:hint="eastAsia" w:ascii="仿宋" w:hAnsi="仿宋" w:eastAsia="仿宋" w:cs="仿宋"/>
          <w:color w:val="auto"/>
          <w:highlight w:val="none"/>
          <w:lang w:val="en-US" w:eastAsia="zh-CN"/>
        </w:rPr>
        <w:t>5.为便于管理，本院职工及职工父母、配偶、子女、兄弟姐妹不得参与比选。</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四、</w:t>
      </w:r>
      <w:r>
        <w:rPr>
          <w:rFonts w:hint="eastAsia" w:ascii="仿宋" w:hAnsi="仿宋" w:eastAsia="仿宋" w:cs="仿宋"/>
          <w:b/>
          <w:bCs/>
          <w:color w:val="auto"/>
          <w:szCs w:val="28"/>
          <w:highlight w:val="none"/>
          <w:lang w:eastAsia="zh-CN"/>
        </w:rPr>
        <w:t>比选</w:t>
      </w:r>
      <w:r>
        <w:rPr>
          <w:rFonts w:hint="eastAsia" w:ascii="仿宋" w:hAnsi="仿宋" w:eastAsia="仿宋" w:cs="仿宋"/>
          <w:b/>
          <w:bCs/>
          <w:color w:val="auto"/>
          <w:szCs w:val="28"/>
          <w:highlight w:val="none"/>
        </w:rPr>
        <w:t>有关说明</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bookmarkStart w:id="146" w:name="_Toc493506283"/>
      <w:bookmarkStart w:id="147" w:name="_Toc5422"/>
      <w:bookmarkStart w:id="148" w:name="_Toc16646"/>
      <w:bookmarkStart w:id="149" w:name="_Toc32097"/>
      <w:bookmarkStart w:id="150" w:name="_Toc1195"/>
      <w:bookmarkStart w:id="151" w:name="_Toc48837299"/>
      <w:bookmarkStart w:id="152" w:name="_Toc5759"/>
      <w:bookmarkStart w:id="153" w:name="_Toc7842"/>
      <w:bookmarkStart w:id="154" w:name="_Toc1625"/>
      <w:bookmarkStart w:id="155" w:name="_Toc27699"/>
      <w:bookmarkStart w:id="156" w:name="_Toc13754"/>
      <w:bookmarkStart w:id="157" w:name="_Toc1735"/>
      <w:bookmarkStart w:id="158" w:name="_Toc31929"/>
      <w:bookmarkStart w:id="159" w:name="_Toc8757"/>
      <w:bookmarkStart w:id="160" w:name="_Toc13103"/>
      <w:bookmarkStart w:id="161" w:name="_Toc22341"/>
      <w:bookmarkStart w:id="162" w:name="_Toc27609"/>
      <w:bookmarkStart w:id="163" w:name="_Toc21405"/>
      <w:bookmarkStart w:id="164" w:name="_Toc28412"/>
      <w:bookmarkStart w:id="165" w:name="_Toc30517"/>
      <w:bookmarkStart w:id="166" w:name="_Toc17822"/>
      <w:bookmarkStart w:id="167" w:name="_Toc495592637"/>
      <w:bookmarkStart w:id="168" w:name="_Toc18755"/>
      <w:bookmarkStart w:id="169" w:name="_Toc6334"/>
      <w:bookmarkStart w:id="170" w:name="_Toc30895"/>
      <w:bookmarkStart w:id="171" w:name="_Toc22003"/>
      <w:bookmarkStart w:id="172" w:name="_Toc14236"/>
      <w:bookmarkStart w:id="173" w:name="_Toc25212"/>
      <w:bookmarkStart w:id="174" w:name="_Toc16771"/>
      <w:r>
        <w:rPr>
          <w:rFonts w:hint="eastAsia" w:ascii="仿宋" w:hAnsi="仿宋" w:eastAsia="仿宋" w:cs="仿宋"/>
          <w:color w:val="auto"/>
          <w:highlight w:val="none"/>
        </w:rPr>
        <w:t>（</w:t>
      </w:r>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）凡有意参加</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参比人</w:t>
      </w:r>
      <w:r>
        <w:rPr>
          <w:rFonts w:hint="eastAsia" w:ascii="仿宋" w:hAnsi="仿宋" w:eastAsia="仿宋" w:cs="仿宋"/>
          <w:color w:val="auto"/>
          <w:highlight w:val="none"/>
        </w:rPr>
        <w:t>，请自行在重庆市</w:t>
      </w:r>
      <w:r>
        <w:rPr>
          <w:rFonts w:hint="eastAsia" w:ascii="仿宋" w:hAnsi="仿宋" w:eastAsia="仿宋" w:cs="仿宋"/>
          <w:color w:val="auto"/>
          <w:highlight w:val="none"/>
          <w:lang w:eastAsia="zh-CN"/>
        </w:rPr>
        <w:t>巴南区第二人民医院官</w:t>
      </w:r>
      <w:r>
        <w:rPr>
          <w:rFonts w:hint="eastAsia" w:ascii="仿宋" w:hAnsi="仿宋" w:eastAsia="仿宋" w:cs="仿宋"/>
          <w:color w:val="auto"/>
          <w:highlight w:val="none"/>
        </w:rPr>
        <w:t>网上下载本项目</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文件以及补遗等</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前公布的所有项目资料，无论</w:t>
      </w:r>
      <w:r>
        <w:rPr>
          <w:rFonts w:hint="eastAsia" w:ascii="仿宋" w:hAnsi="仿宋" w:eastAsia="仿宋" w:cs="仿宋"/>
          <w:color w:val="auto"/>
          <w:highlight w:val="none"/>
          <w:lang w:eastAsia="zh-CN"/>
        </w:rPr>
        <w:t>参比人</w:t>
      </w:r>
      <w:r>
        <w:rPr>
          <w:rFonts w:hint="eastAsia" w:ascii="仿宋" w:hAnsi="仿宋" w:eastAsia="仿宋" w:cs="仿宋"/>
          <w:color w:val="auto"/>
          <w:highlight w:val="none"/>
        </w:rPr>
        <w:t>领取或下载与否，均视为已知晓所有</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实质性要求内容。</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文件公告期限：</w:t>
      </w:r>
      <w:r>
        <w:rPr>
          <w:rFonts w:hint="eastAsia" w:ascii="仿宋" w:hAnsi="仿宋" w:eastAsia="仿宋" w:cs="仿宋"/>
          <w:color w:val="auto"/>
          <w:highlight w:val="none"/>
          <w:lang w:val="en-US" w:eastAsia="zh-CN"/>
        </w:rPr>
        <w:t>2023</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2023</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参比人</w:t>
      </w:r>
      <w:r>
        <w:rPr>
          <w:rFonts w:hint="eastAsia" w:ascii="仿宋" w:hAnsi="仿宋" w:eastAsia="仿宋" w:cs="仿宋"/>
          <w:color w:val="auto"/>
          <w:highlight w:val="none"/>
        </w:rPr>
        <w:t>须满足以下</w:t>
      </w:r>
      <w:r>
        <w:rPr>
          <w:rFonts w:hint="eastAsia" w:ascii="仿宋" w:hAnsi="仿宋" w:eastAsia="仿宋" w:cs="仿宋"/>
          <w:color w:val="auto"/>
          <w:highlight w:val="none"/>
          <w:lang w:eastAsia="zh-CN"/>
        </w:rPr>
        <w:t>两</w:t>
      </w:r>
      <w:r>
        <w:rPr>
          <w:rFonts w:hint="eastAsia" w:ascii="仿宋" w:hAnsi="仿宋" w:eastAsia="仿宋" w:cs="仿宋"/>
          <w:color w:val="auto"/>
          <w:highlight w:val="none"/>
        </w:rPr>
        <w:t>种要件，其响应文件才被接受：</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1、按时递交了响应文件；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2、按时报名签到</w:t>
      </w:r>
      <w:r>
        <w:rPr>
          <w:rFonts w:hint="eastAsia" w:ascii="仿宋" w:hAnsi="仿宋" w:eastAsia="仿宋" w:cs="仿宋"/>
          <w:color w:val="auto"/>
          <w:highlight w:val="none"/>
          <w:lang w:eastAsia="zh-CN"/>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）递交响应文件地点：</w:t>
      </w:r>
      <w:r>
        <w:rPr>
          <w:rFonts w:hint="eastAsia" w:ascii="仿宋" w:hAnsi="仿宋" w:eastAsia="仿宋" w:cs="仿宋"/>
          <w:color w:val="auto"/>
          <w:highlight w:val="none"/>
          <w:lang w:eastAsia="zh-CN"/>
        </w:rPr>
        <w:t>重庆市巴南区第二人民医院采购办</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重庆市巴南区花溪街道花溪新村</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号）</w:t>
      </w:r>
      <w:r>
        <w:rPr>
          <w:rFonts w:hint="eastAsia" w:ascii="仿宋" w:hAnsi="仿宋" w:eastAsia="仿宋" w:cs="仿宋"/>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after="156" w:line="520" w:lineRule="exact"/>
        <w:ind w:firstLine="438" w:firstLineChars="200"/>
        <w:jc w:val="left"/>
        <w:textAlignment w:val="auto"/>
        <w:outlineLvl w:val="1"/>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五</w:t>
      </w:r>
      <w:r>
        <w:rPr>
          <w:rFonts w:hint="eastAsia" w:ascii="仿宋" w:hAnsi="仿宋" w:eastAsia="仿宋" w:cs="仿宋"/>
          <w:color w:val="auto"/>
          <w:highlight w:val="none"/>
        </w:rPr>
        <w:t>）响应文件递交起止时间：</w:t>
      </w:r>
      <w:r>
        <w:rPr>
          <w:rFonts w:hint="eastAsia" w:ascii="仿宋" w:hAnsi="仿宋" w:eastAsia="仿宋" w:cs="仿宋"/>
          <w:color w:val="auto"/>
          <w:highlight w:val="none"/>
          <w:lang w:val="en-US" w:eastAsia="zh-CN"/>
        </w:rPr>
        <w:t>2023</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 ——</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rPr>
        <w:t>响应文件开启时间：</w:t>
      </w:r>
      <w:r>
        <w:rPr>
          <w:rFonts w:hint="eastAsia" w:ascii="仿宋" w:hAnsi="仿宋" w:eastAsia="仿宋" w:cs="仿宋"/>
          <w:color w:val="auto"/>
          <w:highlight w:val="none"/>
          <w:lang w:val="en-US" w:eastAsia="zh-CN"/>
        </w:rPr>
        <w:t>2023</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w:t>
      </w:r>
      <w:r>
        <w:rPr>
          <w:rFonts w:hint="eastAsia" w:ascii="仿宋" w:hAnsi="仿宋" w:eastAsia="仿宋" w:cs="仿宋"/>
          <w:color w:val="auto"/>
          <w:highlight w:val="none"/>
          <w:lang w:eastAsia="zh-CN"/>
        </w:rPr>
        <w:t>。</w:t>
      </w:r>
    </w:p>
    <w:p>
      <w:pPr>
        <w:spacing w:before="156" w:after="156" w:line="520" w:lineRule="exact"/>
        <w:ind w:firstLine="438" w:firstLineChars="200"/>
        <w:jc w:val="left"/>
        <w:outlineLvl w:val="1"/>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rPr>
        <w:t>五、</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仿宋" w:hAnsi="仿宋" w:eastAsia="仿宋" w:cs="仿宋"/>
          <w:b/>
          <w:bCs/>
          <w:color w:val="auto"/>
          <w:szCs w:val="28"/>
          <w:highlight w:val="none"/>
          <w:lang w:eastAsia="zh-CN"/>
        </w:rPr>
        <w:t>投标保证金</w:t>
      </w:r>
    </w:p>
    <w:p>
      <w:pPr>
        <w:pStyle w:val="14"/>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无</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bookmarkStart w:id="175" w:name="_Toc1558"/>
      <w:bookmarkStart w:id="176" w:name="_Toc27985"/>
      <w:bookmarkStart w:id="177" w:name="_Toc28126"/>
      <w:bookmarkStart w:id="178" w:name="_Toc7162"/>
      <w:bookmarkStart w:id="179" w:name="_Toc13480"/>
      <w:bookmarkStart w:id="180" w:name="_Toc3572"/>
      <w:bookmarkStart w:id="181" w:name="_Toc12036"/>
      <w:bookmarkStart w:id="182" w:name="_Toc6190"/>
      <w:bookmarkStart w:id="183" w:name="_Toc14053"/>
      <w:bookmarkStart w:id="184" w:name="_Toc13814"/>
      <w:bookmarkStart w:id="185" w:name="_Toc5685"/>
      <w:bookmarkStart w:id="186" w:name="_Toc23216"/>
      <w:bookmarkStart w:id="187" w:name="_Toc22561"/>
      <w:bookmarkStart w:id="188" w:name="_Toc4707"/>
      <w:bookmarkStart w:id="189" w:name="_Toc7973"/>
      <w:bookmarkStart w:id="190" w:name="_Toc7003"/>
      <w:bookmarkStart w:id="191" w:name="_Toc32044"/>
      <w:bookmarkStart w:id="192" w:name="_Toc12289"/>
      <w:bookmarkStart w:id="193" w:name="_Toc9050"/>
      <w:bookmarkStart w:id="194" w:name="_Toc14448"/>
      <w:bookmarkStart w:id="195" w:name="_Toc48837300"/>
      <w:bookmarkStart w:id="196" w:name="_Toc7014"/>
      <w:bookmarkStart w:id="197" w:name="_Toc13392"/>
      <w:bookmarkStart w:id="198" w:name="_Toc21143"/>
      <w:bookmarkStart w:id="199" w:name="_Toc14132"/>
      <w:bookmarkStart w:id="200" w:name="_Toc15052"/>
      <w:bookmarkStart w:id="201" w:name="_Toc13173"/>
      <w:bookmarkStart w:id="202" w:name="_Toc409189614"/>
      <w:r>
        <w:rPr>
          <w:rFonts w:hint="eastAsia" w:ascii="仿宋" w:hAnsi="仿宋" w:eastAsia="仿宋" w:cs="仿宋"/>
          <w:b/>
          <w:bCs/>
          <w:color w:val="auto"/>
          <w:szCs w:val="28"/>
          <w:highlight w:val="none"/>
        </w:rPr>
        <w:t>六、</w:t>
      </w:r>
      <w:r>
        <w:rPr>
          <w:rFonts w:hint="eastAsia" w:ascii="仿宋" w:hAnsi="仿宋" w:eastAsia="仿宋" w:cs="仿宋"/>
          <w:b/>
          <w:bCs/>
          <w:color w:val="auto"/>
          <w:szCs w:val="28"/>
          <w:highlight w:val="none"/>
          <w:lang w:eastAsia="zh-CN"/>
        </w:rPr>
        <w:t>比选</w:t>
      </w:r>
      <w:r>
        <w:rPr>
          <w:rFonts w:hint="eastAsia" w:ascii="仿宋" w:hAnsi="仿宋" w:eastAsia="仿宋" w:cs="仿宋"/>
          <w:b/>
          <w:bCs/>
          <w:color w:val="auto"/>
          <w:szCs w:val="28"/>
          <w:highlight w:val="none"/>
        </w:rPr>
        <w:t>有关规定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（一）单位负责人为同一人或者存在直接控股、管理关系的不同供应商，不得参加同一合同项（包）下的采购活动。</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）超过规定时间送达或未按要求密封和标记的投标文件不予受理</w:t>
      </w:r>
      <w:r>
        <w:rPr>
          <w:rFonts w:hint="eastAsia" w:ascii="仿宋" w:hAnsi="仿宋" w:eastAsia="仿宋" w:cs="仿宋"/>
          <w:color w:val="auto"/>
          <w:highlight w:val="none"/>
          <w:lang w:eastAsia="zh-CN"/>
        </w:rPr>
        <w:t>，投标文件一经收取不予退还</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参比人</w:t>
      </w:r>
      <w:r>
        <w:rPr>
          <w:rFonts w:hint="eastAsia" w:ascii="仿宋" w:hAnsi="仿宋" w:eastAsia="仿宋" w:cs="仿宋"/>
          <w:color w:val="auto"/>
          <w:highlight w:val="none"/>
        </w:rPr>
        <w:t>应</w:t>
      </w:r>
      <w:r>
        <w:rPr>
          <w:rFonts w:hint="eastAsia" w:ascii="仿宋" w:hAnsi="仿宋" w:eastAsia="仿宋" w:cs="仿宋"/>
          <w:color w:val="auto"/>
          <w:highlight w:val="none"/>
          <w:lang w:val="en-US" w:eastAsia="zh-CN"/>
        </w:rPr>
        <w:t>充分了解该项目实施环境，</w:t>
      </w:r>
      <w:r>
        <w:rPr>
          <w:rFonts w:hint="eastAsia" w:ascii="仿宋" w:hAnsi="仿宋" w:eastAsia="仿宋" w:cs="仿宋"/>
          <w:color w:val="auto"/>
          <w:highlight w:val="none"/>
        </w:rPr>
        <w:t>对本项目的风险和义务</w:t>
      </w:r>
      <w:r>
        <w:rPr>
          <w:rFonts w:hint="eastAsia" w:ascii="仿宋" w:hAnsi="仿宋" w:eastAsia="仿宋" w:cs="仿宋"/>
          <w:color w:val="auto"/>
          <w:highlight w:val="none"/>
          <w:lang w:val="en-US" w:eastAsia="zh-CN"/>
        </w:rPr>
        <w:t>应充分</w:t>
      </w:r>
      <w:r>
        <w:rPr>
          <w:rFonts w:hint="eastAsia" w:ascii="仿宋" w:hAnsi="仿宋" w:eastAsia="仿宋" w:cs="仿宋"/>
          <w:color w:val="auto"/>
          <w:highlight w:val="none"/>
        </w:rPr>
        <w:t>了解，并在其投标文件中</w:t>
      </w:r>
      <w:r>
        <w:rPr>
          <w:rFonts w:hint="eastAsia" w:ascii="仿宋" w:hAnsi="仿宋" w:eastAsia="仿宋" w:cs="仿宋"/>
          <w:color w:val="auto"/>
          <w:highlight w:val="none"/>
          <w:lang w:val="en-US" w:eastAsia="zh-CN"/>
        </w:rPr>
        <w:t>体现</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五</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参比人</w:t>
      </w:r>
      <w:r>
        <w:rPr>
          <w:rFonts w:hint="eastAsia" w:ascii="仿宋" w:hAnsi="仿宋" w:eastAsia="仿宋" w:cs="仿宋"/>
          <w:color w:val="auto"/>
          <w:highlight w:val="none"/>
        </w:rPr>
        <w:t>自行承担参加本项目的全部费用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责任和风险。</w:t>
      </w:r>
    </w:p>
    <w:p>
      <w:pPr>
        <w:spacing w:line="400" w:lineRule="exact"/>
        <w:ind w:firstLine="438" w:firstLineChars="200"/>
        <w:rPr>
          <w:rFonts w:hint="eastAsia" w:ascii="仿宋" w:hAnsi="仿宋" w:eastAsia="仿宋" w:cs="仿宋"/>
          <w:color w:val="auto"/>
          <w:highlight w:val="none"/>
        </w:rPr>
      </w:pPr>
      <w:r>
        <w:rPr>
          <w:rFonts w:hint="eastAsia" w:ascii="仿宋" w:hAnsi="仿宋" w:eastAsia="仿宋" w:cs="仿宋"/>
          <w:color w:val="auto"/>
          <w:highlight w:val="none"/>
        </w:rPr>
        <w:t>（六）本项目不接受联合体参与</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，否则按无效处理</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文件中联合体组成相关条款不生效。</w:t>
      </w:r>
    </w:p>
    <w:p>
      <w:pPr>
        <w:spacing w:line="400" w:lineRule="exact"/>
        <w:ind w:firstLine="438" w:firstLineChars="200"/>
        <w:rPr>
          <w:rFonts w:hint="eastAsia" w:ascii="仿宋" w:hAnsi="仿宋" w:eastAsia="仿宋" w:cs="仿宋"/>
          <w:color w:val="auto"/>
          <w:highlight w:val="none"/>
        </w:rPr>
      </w:pPr>
      <w:r>
        <w:rPr>
          <w:rFonts w:hint="eastAsia" w:ascii="仿宋" w:hAnsi="仿宋" w:eastAsia="仿宋" w:cs="仿宋"/>
          <w:color w:val="auto"/>
          <w:highlight w:val="none"/>
        </w:rPr>
        <w:t>（七）本项目不接受合同分包，否则按无效处理。</w:t>
      </w:r>
    </w:p>
    <w:p>
      <w:pPr>
        <w:spacing w:line="520" w:lineRule="exact"/>
        <w:ind w:firstLine="438" w:firstLineChars="200"/>
        <w:jc w:val="both"/>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w:t>
      </w:r>
      <w:r>
        <w:rPr>
          <w:rFonts w:hint="eastAsia" w:ascii="仿宋" w:hAnsi="仿宋" w:eastAsia="仿宋" w:cs="仿宋"/>
          <w:color w:val="auto"/>
          <w:kern w:val="0"/>
          <w:szCs w:val="28"/>
          <w:highlight w:val="none"/>
          <w:lang w:eastAsia="zh-CN"/>
        </w:rPr>
        <w:t>八</w:t>
      </w:r>
      <w:r>
        <w:rPr>
          <w:rFonts w:hint="eastAsia" w:ascii="仿宋" w:hAnsi="仿宋" w:eastAsia="仿宋" w:cs="仿宋"/>
          <w:color w:val="auto"/>
          <w:kern w:val="0"/>
          <w:szCs w:val="28"/>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bookmarkStart w:id="203" w:name="_Toc15623"/>
      <w:bookmarkStart w:id="204" w:name="_Toc29353"/>
      <w:bookmarkStart w:id="205" w:name="_Toc12314"/>
      <w:bookmarkStart w:id="206" w:name="_Toc1985"/>
      <w:bookmarkStart w:id="207" w:name="_Toc30321"/>
      <w:bookmarkStart w:id="208" w:name="_Toc896"/>
      <w:bookmarkStart w:id="209" w:name="_Toc30465"/>
      <w:bookmarkStart w:id="210" w:name="_Toc16069"/>
      <w:bookmarkStart w:id="211" w:name="_Toc31253"/>
      <w:bookmarkStart w:id="212" w:name="_Toc18960"/>
      <w:bookmarkStart w:id="213" w:name="_Toc2063"/>
      <w:bookmarkStart w:id="214" w:name="_Toc7931"/>
      <w:bookmarkStart w:id="215" w:name="_Toc6822"/>
      <w:bookmarkStart w:id="216" w:name="_Toc28422"/>
      <w:bookmarkStart w:id="217" w:name="_Toc27349"/>
      <w:bookmarkStart w:id="218" w:name="_Toc5673"/>
      <w:bookmarkStart w:id="219" w:name="_Toc27061"/>
      <w:bookmarkStart w:id="220" w:name="_Toc333"/>
      <w:bookmarkStart w:id="221" w:name="_Toc12603"/>
      <w:bookmarkStart w:id="222" w:name="_Toc16081"/>
      <w:bookmarkStart w:id="223" w:name="_Toc22782"/>
      <w:bookmarkStart w:id="224" w:name="_Toc3329"/>
      <w:bookmarkStart w:id="225" w:name="_Toc12842"/>
      <w:bookmarkStart w:id="226" w:name="_Toc768"/>
      <w:bookmarkStart w:id="227" w:name="_Toc30472"/>
      <w:bookmarkStart w:id="228" w:name="_Toc48837301"/>
      <w:bookmarkStart w:id="229" w:name="_Toc22193"/>
      <w:r>
        <w:rPr>
          <w:rFonts w:hint="eastAsia" w:ascii="仿宋" w:hAnsi="仿宋" w:eastAsia="仿宋" w:cs="仿宋"/>
          <w:b/>
          <w:bCs/>
          <w:color w:val="auto"/>
          <w:szCs w:val="28"/>
          <w:highlight w:val="none"/>
        </w:rPr>
        <w:t>七、联系方式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ind w:firstLine="438" w:firstLineChars="200"/>
        <w:rPr>
          <w:rFonts w:hint="eastAsia" w:ascii="仿宋" w:hAnsi="仿宋" w:eastAsia="仿宋" w:cs="仿宋"/>
          <w:color w:val="auto"/>
          <w:highlight w:val="none"/>
        </w:rPr>
      </w:pPr>
      <w:bookmarkStart w:id="230" w:name="_Toc7350"/>
      <w:bookmarkStart w:id="231" w:name="_Toc8199"/>
      <w:bookmarkStart w:id="232" w:name="_Toc7322"/>
      <w:bookmarkStart w:id="233" w:name="_Toc7482"/>
      <w:bookmarkStart w:id="234" w:name="_Toc1822"/>
      <w:bookmarkStart w:id="235" w:name="_Toc20171"/>
      <w:bookmarkStart w:id="236" w:name="_Toc5040"/>
      <w:bookmarkStart w:id="237" w:name="_Toc23459"/>
      <w:bookmarkStart w:id="238" w:name="_Toc31928"/>
      <w:bookmarkStart w:id="239" w:name="_Toc11698"/>
      <w:bookmarkStart w:id="240" w:name="_Toc2578"/>
      <w:bookmarkStart w:id="241" w:name="_Toc21409"/>
      <w:bookmarkStart w:id="242" w:name="_Toc2022"/>
      <w:r>
        <w:rPr>
          <w:rFonts w:hint="eastAsia" w:ascii="仿宋" w:hAnsi="仿宋" w:eastAsia="仿宋" w:cs="仿宋"/>
          <w:color w:val="auto"/>
          <w:highlight w:val="none"/>
        </w:rPr>
        <w:t>重庆市巴南区第二人民医院</w:t>
      </w:r>
    </w:p>
    <w:p>
      <w:pPr>
        <w:ind w:firstLine="438"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姚</w:t>
      </w:r>
      <w:r>
        <w:rPr>
          <w:rFonts w:hint="eastAsia" w:ascii="仿宋" w:hAnsi="仿宋" w:eastAsia="仿宋" w:cs="仿宋"/>
          <w:color w:val="auto"/>
          <w:highlight w:val="none"/>
        </w:rPr>
        <w:t>老师</w:t>
      </w:r>
      <w:r>
        <w:rPr>
          <w:rFonts w:hint="eastAsia" w:ascii="仿宋" w:hAnsi="仿宋" w:eastAsia="仿宋" w:cs="仿宋"/>
          <w:color w:val="auto"/>
          <w:highlight w:val="none"/>
          <w:lang w:eastAsia="zh-CN"/>
        </w:rPr>
        <w:t>（总务</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联系电话：</w:t>
      </w:r>
      <w:r>
        <w:rPr>
          <w:rFonts w:hint="eastAsia" w:ascii="仿宋" w:hAnsi="仿宋" w:eastAsia="仿宋" w:cs="仿宋"/>
          <w:color w:val="auto"/>
          <w:highlight w:val="none"/>
          <w:lang w:val="en-US" w:eastAsia="zh-CN"/>
        </w:rPr>
        <w:t>62867383</w:t>
      </w:r>
    </w:p>
    <w:p>
      <w:pPr>
        <w:ind w:firstLine="438"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吴</w:t>
      </w:r>
      <w:r>
        <w:rPr>
          <w:rFonts w:hint="eastAsia" w:ascii="仿宋" w:hAnsi="仿宋" w:eastAsia="仿宋" w:cs="仿宋"/>
          <w:color w:val="auto"/>
          <w:highlight w:val="none"/>
        </w:rPr>
        <w:t>老师</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联系电话：</w:t>
      </w:r>
      <w:r>
        <w:rPr>
          <w:rFonts w:hint="eastAsia" w:ascii="仿宋" w:hAnsi="仿宋" w:eastAsia="仿宋" w:cs="仿宋"/>
          <w:color w:val="auto"/>
          <w:highlight w:val="none"/>
          <w:lang w:val="en-US" w:eastAsia="zh-CN"/>
        </w:rPr>
        <w:t>62867363</w:t>
      </w:r>
    </w:p>
    <w:p>
      <w:pPr>
        <w:ind w:firstLine="438" w:firstLineChars="200"/>
        <w:rPr>
          <w:rFonts w:hint="eastAsia" w:ascii="仿宋" w:hAnsi="仿宋" w:eastAsia="仿宋" w:cs="仿宋"/>
          <w:color w:val="auto"/>
          <w:highlight w:val="none"/>
        </w:rPr>
      </w:pPr>
    </w:p>
    <w:p>
      <w:pPr>
        <w:ind w:firstLine="5037" w:firstLineChars="2300"/>
        <w:rPr>
          <w:rFonts w:hint="eastAsia" w:ascii="仿宋" w:hAnsi="仿宋" w:eastAsia="仿宋" w:cs="仿宋"/>
          <w:color w:val="auto"/>
          <w:highlight w:val="none"/>
        </w:rPr>
      </w:pPr>
      <w:r>
        <w:rPr>
          <w:rFonts w:hint="eastAsia" w:ascii="仿宋" w:hAnsi="仿宋" w:eastAsia="仿宋" w:cs="仿宋"/>
          <w:color w:val="auto"/>
          <w:highlight w:val="none"/>
        </w:rPr>
        <w:t>重庆市巴南区第二人民医院</w:t>
      </w:r>
    </w:p>
    <w:p>
      <w:pPr>
        <w:ind w:firstLine="438"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bookmarkStart w:id="944" w:name="_GoBack"/>
      <w:bookmarkEnd w:id="944"/>
    </w:p>
    <w:p>
      <w:pPr>
        <w:ind w:firstLine="438" w:firstLineChars="200"/>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3"/>
        <w:numPr>
          <w:ilvl w:val="0"/>
          <w:numId w:val="0"/>
        </w:numPr>
        <w:tabs>
          <w:tab w:val="clear" w:pos="3360"/>
        </w:tabs>
        <w:spacing w:before="120" w:after="120"/>
        <w:ind w:leftChars="0"/>
        <w:rPr>
          <w:rFonts w:hint="eastAsia"/>
          <w:color w:val="auto"/>
          <w:szCs w:val="22"/>
          <w:highlight w:val="none"/>
        </w:rPr>
      </w:pPr>
      <w:r>
        <w:rPr>
          <w:rFonts w:hint="eastAsia"/>
          <w:color w:val="auto"/>
          <w:szCs w:val="22"/>
          <w:highlight w:val="none"/>
          <w:lang w:eastAsia="zh-CN"/>
        </w:rPr>
        <w:t>第二篇</w:t>
      </w:r>
      <w:r>
        <w:rPr>
          <w:rFonts w:hint="eastAsia"/>
          <w:color w:val="auto"/>
          <w:szCs w:val="22"/>
          <w:highlight w:val="none"/>
          <w:lang w:val="en-US" w:eastAsia="zh-CN"/>
        </w:rPr>
        <w:t xml:space="preserve"> </w:t>
      </w:r>
      <w:r>
        <w:rPr>
          <w:rFonts w:hint="eastAsia"/>
          <w:color w:val="auto"/>
          <w:szCs w:val="22"/>
          <w:highlight w:val="none"/>
        </w:rPr>
        <w:t>采购</w:t>
      </w:r>
      <w:r>
        <w:rPr>
          <w:rFonts w:hint="eastAsia"/>
          <w:color w:val="auto"/>
          <w:szCs w:val="22"/>
          <w:highlight w:val="none"/>
          <w:lang w:eastAsia="zh-CN"/>
        </w:rPr>
        <w:t>项目内容及</w:t>
      </w:r>
      <w:r>
        <w:rPr>
          <w:rFonts w:hint="eastAsia"/>
          <w:color w:val="auto"/>
          <w:szCs w:val="22"/>
          <w:highlight w:val="none"/>
        </w:rPr>
        <w:t>要求</w:t>
      </w:r>
      <w:bookmarkEnd w:id="230"/>
      <w:bookmarkEnd w:id="231"/>
      <w:bookmarkEnd w:id="232"/>
      <w:bookmarkEnd w:id="233"/>
      <w:bookmarkEnd w:id="234"/>
      <w:bookmarkEnd w:id="235"/>
      <w:bookmarkEnd w:id="236"/>
      <w:bookmarkEnd w:id="237"/>
      <w:bookmarkEnd w:id="238"/>
      <w:bookmarkEnd w:id="239"/>
      <w:bookmarkEnd w:id="240"/>
      <w:bookmarkEnd w:id="241"/>
      <w:bookmarkEnd w:id="242"/>
      <w:bookmarkStart w:id="243" w:name="_Toc24848"/>
      <w:bookmarkStart w:id="244" w:name="_Toc421783196"/>
    </w:p>
    <w:bookmarkEnd w:id="243"/>
    <w:p>
      <w:pPr>
        <w:spacing w:before="156" w:after="156" w:line="520" w:lineRule="exact"/>
        <w:ind w:firstLine="438" w:firstLineChars="200"/>
        <w:jc w:val="left"/>
        <w:outlineLvl w:val="1"/>
        <w:rPr>
          <w:rFonts w:hint="eastAsia" w:ascii="仿宋" w:hAnsi="仿宋" w:eastAsia="仿宋" w:cs="仿宋"/>
          <w:b/>
          <w:bCs/>
          <w:color w:val="auto"/>
          <w:szCs w:val="28"/>
          <w:highlight w:val="none"/>
          <w:lang w:eastAsia="zh-CN"/>
        </w:rPr>
      </w:pPr>
      <w:bookmarkStart w:id="245" w:name="_Toc21442"/>
      <w:bookmarkStart w:id="246" w:name="_Toc29128"/>
      <w:bookmarkStart w:id="247" w:name="_Toc28663"/>
      <w:bookmarkStart w:id="248" w:name="_Toc8618"/>
      <w:bookmarkStart w:id="249" w:name="_Toc1636"/>
      <w:r>
        <w:rPr>
          <w:rFonts w:hint="eastAsia" w:ascii="仿宋" w:hAnsi="仿宋" w:eastAsia="仿宋" w:cs="仿宋"/>
          <w:b/>
          <w:bCs/>
          <w:color w:val="auto"/>
          <w:szCs w:val="28"/>
          <w:highlight w:val="none"/>
          <w:lang w:eastAsia="zh-CN"/>
        </w:rPr>
        <w:t>一、项目基本概况介绍</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eastAsia="仿宋"/>
          <w:color w:val="auto"/>
          <w:highlight w:val="none"/>
          <w:lang w:val="en-US" w:eastAsia="zh-CN"/>
        </w:rPr>
      </w:pPr>
      <w:bookmarkStart w:id="250" w:name="_Toc521674214"/>
      <w:bookmarkStart w:id="251" w:name="_Toc499571490"/>
      <w:bookmarkStart w:id="252" w:name="_Toc498792111"/>
      <w:r>
        <w:rPr>
          <w:rFonts w:hint="eastAsia" w:ascii="仿宋" w:hAnsi="仿宋" w:eastAsia="仿宋" w:cs="仿宋"/>
          <w:color w:val="auto"/>
          <w:highlight w:val="none"/>
        </w:rPr>
        <w:t>本项目为重庆市巴南区第二人民医院食堂外包服务项目（包含食</w:t>
      </w:r>
      <w:r>
        <w:rPr>
          <w:rFonts w:hint="default" w:ascii="仿宋" w:hAnsi="仿宋" w:eastAsia="仿宋" w:cs="仿宋"/>
          <w:color w:val="auto"/>
          <w:highlight w:val="none"/>
        </w:rPr>
        <w:t>材、食堂员工工资福利、社会保险、税费、服装费、管理费、员工辞退费、餐厨垃圾处理费用</w:t>
      </w:r>
      <w:r>
        <w:rPr>
          <w:rFonts w:hint="default" w:ascii="仿宋" w:hAnsi="仿宋" w:eastAsia="仿宋" w:cs="仿宋"/>
          <w:color w:val="auto"/>
          <w:highlight w:val="none"/>
          <w:lang w:eastAsia="zh-CN"/>
        </w:rPr>
        <w:t>、烟道清洗检测费、“</w:t>
      </w:r>
      <w:r>
        <w:rPr>
          <w:rFonts w:hint="default" w:ascii="仿宋" w:hAnsi="仿宋" w:eastAsia="仿宋" w:cs="仿宋"/>
          <w:color w:val="auto"/>
          <w:highlight w:val="none"/>
          <w:lang w:val="en-US" w:eastAsia="zh-CN"/>
        </w:rPr>
        <w:t>互联网+明厨亮灶+AI识别”等APP相关费用</w:t>
      </w:r>
      <w:r>
        <w:rPr>
          <w:rFonts w:hint="default" w:ascii="仿宋" w:hAnsi="仿宋" w:eastAsia="仿宋" w:cs="仿宋"/>
          <w:color w:val="auto"/>
          <w:highlight w:val="none"/>
        </w:rPr>
        <w:t>以及消耗的水电气等</w:t>
      </w:r>
      <w:r>
        <w:rPr>
          <w:rFonts w:hint="default" w:ascii="仿宋" w:hAnsi="仿宋" w:eastAsia="仿宋" w:cs="仿宋"/>
          <w:color w:val="auto"/>
          <w:highlight w:val="none"/>
          <w:lang w:eastAsia="zh-CN"/>
        </w:rPr>
        <w:t>正常营业</w:t>
      </w:r>
      <w:r>
        <w:rPr>
          <w:rFonts w:hint="default" w:ascii="仿宋" w:hAnsi="仿宋" w:eastAsia="仿宋" w:cs="仿宋"/>
          <w:color w:val="auto"/>
          <w:highlight w:val="none"/>
        </w:rPr>
        <w:t>产生的所有费用），由</w:t>
      </w:r>
      <w:r>
        <w:rPr>
          <w:rFonts w:hint="eastAsia" w:ascii="仿宋" w:hAnsi="仿宋" w:eastAsia="仿宋" w:cs="仿宋"/>
          <w:color w:val="auto"/>
          <w:highlight w:val="none"/>
          <w:lang w:eastAsia="zh-CN"/>
        </w:rPr>
        <w:t>中选人</w:t>
      </w:r>
      <w:r>
        <w:rPr>
          <w:rFonts w:hint="default" w:ascii="仿宋" w:hAnsi="仿宋" w:eastAsia="仿宋" w:cs="仿宋"/>
          <w:color w:val="auto"/>
          <w:highlight w:val="none"/>
        </w:rPr>
        <w:t>负责提供厨房员工和餐厅服务人员，负责厨房、餐厅和人员的日常管理，做到及时、卫生、安全、营养、热情，并接受</w:t>
      </w:r>
      <w:r>
        <w:rPr>
          <w:rFonts w:hint="default" w:ascii="仿宋" w:hAnsi="仿宋" w:eastAsia="仿宋" w:cs="仿宋"/>
          <w:color w:val="auto"/>
          <w:highlight w:val="none"/>
          <w:lang w:eastAsia="zh-CN"/>
        </w:rPr>
        <w:t>招标</w:t>
      </w:r>
      <w:r>
        <w:rPr>
          <w:rFonts w:hint="default" w:ascii="仿宋" w:hAnsi="仿宋" w:eastAsia="仿宋" w:cs="仿宋"/>
          <w:color w:val="auto"/>
          <w:highlight w:val="none"/>
        </w:rPr>
        <w:t>人的监督考核。</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rPr>
      </w:pPr>
      <w:r>
        <w:rPr>
          <w:rFonts w:hint="default" w:ascii="仿宋" w:hAnsi="仿宋" w:eastAsia="仿宋" w:cs="仿宋"/>
          <w:color w:val="auto"/>
          <w:highlight w:val="none"/>
        </w:rPr>
        <w:t>（一）场地情况</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rPr>
      </w:pPr>
      <w:r>
        <w:rPr>
          <w:rFonts w:hint="default" w:ascii="仿宋" w:hAnsi="仿宋" w:eastAsia="仿宋" w:cs="仿宋"/>
          <w:color w:val="auto"/>
          <w:highlight w:val="none"/>
        </w:rPr>
        <w:t>食堂位于重庆市巴南区第二人民医院院内，现有场地面积约240平方米。</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rPr>
      </w:pPr>
      <w:r>
        <w:rPr>
          <w:rFonts w:hint="default" w:ascii="仿宋" w:hAnsi="仿宋" w:eastAsia="仿宋" w:cs="仿宋"/>
          <w:color w:val="auto"/>
          <w:highlight w:val="none"/>
        </w:rPr>
        <w:t>（二）就餐情况</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default" w:ascii="仿宋" w:hAnsi="仿宋" w:eastAsia="仿宋" w:cs="仿宋"/>
          <w:color w:val="auto"/>
          <w:highlight w:val="none"/>
        </w:rPr>
        <w:t>按</w:t>
      </w:r>
      <w:r>
        <w:rPr>
          <w:rFonts w:hint="default" w:ascii="仿宋" w:hAnsi="仿宋" w:eastAsia="仿宋" w:cs="仿宋"/>
          <w:color w:val="auto"/>
          <w:highlight w:val="none"/>
          <w:lang w:eastAsia="zh-CN"/>
        </w:rPr>
        <w:t>招标人</w:t>
      </w:r>
      <w:r>
        <w:rPr>
          <w:rFonts w:hint="default" w:ascii="仿宋" w:hAnsi="仿宋" w:eastAsia="仿宋" w:cs="仿宋"/>
          <w:color w:val="auto"/>
          <w:highlight w:val="none"/>
        </w:rPr>
        <w:t>要求提供365天对医院职工工作用餐、病员及家属陪伴用餐、值班夜间手术医生加班用餐服务、其他接待用餐。</w:t>
      </w:r>
    </w:p>
    <w:p>
      <w:pPr>
        <w:spacing w:before="156" w:after="156" w:line="520" w:lineRule="exact"/>
        <w:ind w:firstLine="438" w:firstLineChars="200"/>
        <w:jc w:val="left"/>
        <w:outlineLvl w:val="1"/>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lang w:eastAsia="zh-CN"/>
        </w:rPr>
        <w:t>二、服务需求</w:t>
      </w:r>
      <w:bookmarkEnd w:id="250"/>
      <w:bookmarkEnd w:id="251"/>
      <w:bookmarkEnd w:id="252"/>
      <w:bookmarkStart w:id="253" w:name="_Toc521674206"/>
    </w:p>
    <w:bookmarkEnd w:id="253"/>
    <w:p>
      <w:pPr>
        <w:keepNext w:val="0"/>
        <w:keepLines w:val="0"/>
        <w:pageBreakBefore w:val="0"/>
        <w:widowControl w:val="0"/>
        <w:kinsoku/>
        <w:wordWrap/>
        <w:overflowPunct/>
        <w:topLinePunct w:val="0"/>
        <w:autoSpaceDE/>
        <w:autoSpaceDN/>
        <w:bidi w:val="0"/>
        <w:snapToGrid w:val="0"/>
        <w:spacing w:line="520" w:lineRule="exact"/>
        <w:ind w:firstLine="438" w:firstLineChars="200"/>
        <w:jc w:val="left"/>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（一）人员岗位设置及要求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1．人员常年固定配置人数必须满足食堂管理及营运需要，应有以下人员：行政管理人员、厨师长、厨师、服务员及</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需配备的其它人员，由</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在</w:t>
      </w:r>
      <w:r>
        <w:rPr>
          <w:rFonts w:hint="eastAsia" w:ascii="仿宋" w:hAnsi="仿宋" w:eastAsia="仿宋" w:cs="仿宋"/>
          <w:color w:val="auto"/>
          <w:highlight w:val="none"/>
          <w:lang w:val="en-US" w:eastAsia="zh-CN"/>
        </w:rPr>
        <w:t>比选</w:t>
      </w:r>
      <w:r>
        <w:rPr>
          <w:rFonts w:hint="default" w:ascii="仿宋" w:hAnsi="仿宋" w:eastAsia="仿宋" w:cs="仿宋"/>
          <w:color w:val="auto"/>
          <w:highlight w:val="none"/>
          <w:lang w:val="en-US" w:eastAsia="zh-CN"/>
        </w:rPr>
        <w:t>文件中明确每类所需的工作人员。</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行政管理人员：1名（监管食品安全，需具备重庆市餐饮服务单位食品安全管理员培训合格证），全面负责医院食堂的日常管理工作；负责“互联网+明厨亮灶+AI识别”等APP的管理、学习、培训、信息报送等；监督指导厨师、服务人员的工作；负责与院方的沟通、协调工作。</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厨师：含厨师长不得少于3人，厨师长须具有中级（二级）厨师及以上资格证书，厨师均须持有有效厨师资格证。</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厨房工作人员、餐厅服务人员及其他年龄要求：女性不得超过55周岁，男性不得超过60周岁。</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的员工身心健康，持有有效健康合格证（健康证复印件需交</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方工会），每年需进行健康体检一次（费用由</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负责），按相关文件要求完成线上学习培训，并取得合格证书。</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的员工无违法犯罪记录（由</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方安全保卫科报公安部门审核）。</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4．</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应对所有员工的配置情况进行登记造册（包括姓名、性别、身份证号码及具备的专业能力），随同提供上述要求的证明文件报</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方总务科、安全保卫科备案。人员除经</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方同意外，均不得随意变更。</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5.员工须统一着装（服装费用由中</w:t>
      </w:r>
      <w:r>
        <w:rPr>
          <w:rFonts w:hint="eastAsia" w:ascii="仿宋" w:hAnsi="仿宋" w:eastAsia="仿宋" w:cs="仿宋"/>
          <w:color w:val="auto"/>
          <w:highlight w:val="none"/>
          <w:lang w:val="en-US" w:eastAsia="zh-CN"/>
        </w:rPr>
        <w:t>选</w:t>
      </w:r>
      <w:r>
        <w:rPr>
          <w:rFonts w:hint="default" w:ascii="仿宋" w:hAnsi="仿宋" w:eastAsia="仿宋" w:cs="仿宋"/>
          <w:color w:val="auto"/>
          <w:highlight w:val="none"/>
          <w:lang w:val="en-US" w:eastAsia="zh-CN"/>
        </w:rPr>
        <w:t>人负责），保持工作服整洁干净、佩戴胸牌、行为规范、服务主动热情。</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6．</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定期对员工进行入职培训、消防培训、保密培训、食品安全培训、医院规章制度培训等岗位培训，不断提高员工素质及技能，遵守</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人内部管理措施。</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 xml:space="preserve"> 7. 本项目</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需配置食品安全总监、食堂安全管理员、反食品浪费管理员。</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（二）就餐时间</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根据招标人要求进行调整。</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（三）供餐种类及标准</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结合实际需求，可经营自助餐、不同形式的套餐、小碗菜、小炒、特色小吃、汤（火）锅等，但不得低于以下供餐要求：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早餐自助：职工</w:t>
      </w:r>
      <w:r>
        <w:rPr>
          <w:rFonts w:hint="eastAsia" w:ascii="仿宋" w:hAnsi="仿宋" w:eastAsia="仿宋" w:cs="仿宋"/>
          <w:color w:val="auto"/>
          <w:highlight w:val="none"/>
          <w:lang w:val="en-US" w:eastAsia="zh-CN"/>
        </w:rPr>
        <w:t>最高</w:t>
      </w:r>
      <w:r>
        <w:rPr>
          <w:rFonts w:hint="default" w:ascii="仿宋" w:hAnsi="仿宋" w:eastAsia="仿宋" w:cs="仿宋"/>
          <w:color w:val="auto"/>
          <w:highlight w:val="none"/>
          <w:lang w:val="en-US" w:eastAsia="zh-CN"/>
        </w:rPr>
        <w:t>标准为7元/餐，只限堂食，由中</w:t>
      </w:r>
      <w:r>
        <w:rPr>
          <w:rFonts w:hint="eastAsia" w:ascii="仿宋" w:hAnsi="仿宋" w:eastAsia="仿宋" w:cs="仿宋"/>
          <w:color w:val="auto"/>
          <w:highlight w:val="none"/>
          <w:lang w:val="en-US" w:eastAsia="zh-CN"/>
        </w:rPr>
        <w:t>选</w:t>
      </w:r>
      <w:r>
        <w:rPr>
          <w:rFonts w:hint="default" w:ascii="仿宋" w:hAnsi="仿宋" w:eastAsia="仿宋" w:cs="仿宋"/>
          <w:color w:val="auto"/>
          <w:highlight w:val="none"/>
          <w:lang w:val="en-US" w:eastAsia="zh-CN"/>
        </w:rPr>
        <w:t>人自行监管；职工打包带走或非职工用餐按食品售价付款。</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1、白粥、菜粥、豆浆、盒装牛奶、酸奶（不能少于2种）。</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2、包子、馒头、油条、麻圆、蒸饺、烧麦、发糕、花卷、春卷、海苔卷、糯米鸡、饭团、玉米、杂粮、甜甜圈、酸奶麻花、糍粑块</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鸡蛋、盐蛋等（不能少于</w:t>
      </w:r>
      <w:r>
        <w:rPr>
          <w:rFonts w:hint="eastAsia" w:ascii="仿宋" w:hAnsi="仿宋" w:eastAsia="仿宋" w:cs="仿宋"/>
          <w:color w:val="auto"/>
          <w:highlight w:val="none"/>
          <w:lang w:val="en-US" w:eastAsia="zh-CN"/>
        </w:rPr>
        <w:t>8</w:t>
      </w:r>
      <w:r>
        <w:rPr>
          <w:rFonts w:hint="default" w:ascii="仿宋" w:hAnsi="仿宋" w:eastAsia="仿宋" w:cs="仿宋"/>
          <w:color w:val="auto"/>
          <w:highlight w:val="none"/>
          <w:lang w:val="en-US" w:eastAsia="zh-CN"/>
        </w:rPr>
        <w:t>种，每天翻新供应</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种以上）。</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3、煎蛋、小面、米线、咸菜、小菜，中</w:t>
      </w:r>
      <w:r>
        <w:rPr>
          <w:rFonts w:hint="eastAsia" w:ascii="仿宋" w:hAnsi="仿宋" w:eastAsia="仿宋" w:cs="仿宋"/>
          <w:color w:val="auto"/>
          <w:highlight w:val="none"/>
          <w:lang w:val="en-US" w:eastAsia="zh-CN"/>
        </w:rPr>
        <w:t>选</w:t>
      </w:r>
      <w:r>
        <w:rPr>
          <w:rFonts w:hint="default" w:ascii="仿宋" w:hAnsi="仿宋" w:eastAsia="仿宋" w:cs="仿宋"/>
          <w:color w:val="auto"/>
          <w:highlight w:val="none"/>
          <w:lang w:val="en-US" w:eastAsia="zh-CN"/>
        </w:rPr>
        <w:t>人每天必须保证供应。</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午餐(由医院指定形式)：</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 xml:space="preserve"> 1.医院职工采用自助餐形式：</w:t>
      </w:r>
      <w:r>
        <w:rPr>
          <w:rFonts w:hint="eastAsia" w:ascii="仿宋" w:hAnsi="仿宋" w:eastAsia="仿宋" w:cs="仿宋"/>
          <w:color w:val="auto"/>
          <w:highlight w:val="none"/>
          <w:lang w:val="en-US" w:eastAsia="zh-CN"/>
        </w:rPr>
        <w:t>最高</w:t>
      </w:r>
      <w:r>
        <w:rPr>
          <w:rFonts w:hint="default" w:ascii="仿宋" w:hAnsi="仿宋" w:eastAsia="仿宋" w:cs="仿宋"/>
          <w:color w:val="auto"/>
          <w:highlight w:val="none"/>
          <w:lang w:val="en-US" w:eastAsia="zh-CN"/>
        </w:rPr>
        <w:t>标准为18元/餐，四荤三素，荤汤、素汤各一个，每日提供餐后水果或小吃（每天翻新菜品）；非职工用餐：采用套餐形式，</w:t>
      </w:r>
      <w:r>
        <w:rPr>
          <w:rFonts w:hint="eastAsia" w:ascii="仿宋" w:hAnsi="仿宋" w:eastAsia="仿宋" w:cs="仿宋"/>
          <w:color w:val="auto"/>
          <w:highlight w:val="none"/>
          <w:lang w:val="en-US" w:eastAsia="zh-CN"/>
        </w:rPr>
        <w:t>最高</w:t>
      </w:r>
      <w:r>
        <w:rPr>
          <w:rFonts w:hint="default" w:ascii="仿宋" w:hAnsi="仿宋" w:eastAsia="仿宋" w:cs="仿宋"/>
          <w:color w:val="auto"/>
          <w:highlight w:val="none"/>
          <w:lang w:val="en-US" w:eastAsia="zh-CN"/>
        </w:rPr>
        <w:t>标准为18元/餐，四荤三素，荤汤、素汤各一个；标准为15元/餐，三荤两素、免费汤；标准为12元/餐，二荤两素、免费汤；标准为10元/餐，一荤两素、免费汤；每餐菜品需4荤4素及以上。午餐另备小炒、面条、米线、按病人要求提供营养餐等。</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2.医院职工采用小碗菜形式，</w:t>
      </w:r>
      <w:r>
        <w:rPr>
          <w:rFonts w:hint="eastAsia" w:ascii="仿宋" w:hAnsi="仿宋" w:eastAsia="仿宋" w:cs="仿宋"/>
          <w:color w:val="auto"/>
          <w:highlight w:val="none"/>
          <w:lang w:val="en-US" w:eastAsia="zh-CN"/>
        </w:rPr>
        <w:t>最高</w:t>
      </w:r>
      <w:r>
        <w:rPr>
          <w:rFonts w:hint="default" w:ascii="仿宋" w:hAnsi="仿宋" w:eastAsia="仿宋" w:cs="仿宋"/>
          <w:color w:val="auto"/>
          <w:highlight w:val="none"/>
          <w:lang w:val="en-US" w:eastAsia="zh-CN"/>
        </w:rPr>
        <w:t>标准为18元/餐，四荤三素、荤汤、素汤各一个；</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需提供6荤6素及以上菜品，每日提供餐后水果或小吃（每天翻新菜品）；非职工用餐：采用套餐形式，</w:t>
      </w:r>
      <w:r>
        <w:rPr>
          <w:rFonts w:hint="eastAsia" w:ascii="仿宋" w:hAnsi="仿宋" w:eastAsia="仿宋" w:cs="仿宋"/>
          <w:color w:val="auto"/>
          <w:highlight w:val="none"/>
          <w:lang w:val="en-US" w:eastAsia="zh-CN"/>
        </w:rPr>
        <w:t>最高</w:t>
      </w:r>
      <w:r>
        <w:rPr>
          <w:rFonts w:hint="default" w:ascii="仿宋" w:hAnsi="仿宋" w:eastAsia="仿宋" w:cs="仿宋"/>
          <w:color w:val="auto"/>
          <w:highlight w:val="none"/>
          <w:lang w:val="en-US" w:eastAsia="zh-CN"/>
        </w:rPr>
        <w:t>标准为18元/餐，四荤三素，荤汤、素汤各一个；标准为15元/餐，三荤两素、免费汤；标准为12元/餐，二荤两素、免费汤；标准为10元/餐，一荤两素、免费汤；每餐菜品需4荤4素及以上。午餐另备小炒、面条、米线、按病人要求提供营养餐等。</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晚餐：</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套餐形式：采用套餐形式，标准为15元/餐，三荤两素、免费汤；标准为12元/餐，二荤两素、免费汤；标准为10元/餐，一荤两素、免费汤；每餐菜品需4荤4素及以上。晚餐另备小炒、面条、米线、按病人要求提供营养餐等。</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夜餐：面包、牛奶（如有调整，双方协商）。</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最终餐标及菜品以比选文件为准。</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专项工作（临时性工作）后勤餐饮保障任务：根据</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人需求完成。</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2.经营需365天营业，中、晚定时到病区送餐供应，并为病员提供营养餐服务，满足住院病员和陪伴家属用餐需求。根据临床的特殊需求，为值班、加班人员提供送餐服务。</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人对菜品配置进行合理调整（如增加菜品种类、临时接待任务等），中</w:t>
      </w:r>
      <w:r>
        <w:rPr>
          <w:rFonts w:hint="eastAsia" w:ascii="仿宋" w:hAnsi="仿宋" w:eastAsia="仿宋" w:cs="仿宋"/>
          <w:color w:val="auto"/>
          <w:highlight w:val="none"/>
          <w:lang w:val="en-US" w:eastAsia="zh-CN"/>
        </w:rPr>
        <w:t>选</w:t>
      </w:r>
      <w:r>
        <w:rPr>
          <w:rFonts w:hint="default" w:ascii="仿宋" w:hAnsi="仿宋" w:eastAsia="仿宋" w:cs="仿宋"/>
          <w:color w:val="auto"/>
          <w:highlight w:val="none"/>
          <w:lang w:val="en-US" w:eastAsia="zh-CN"/>
        </w:rPr>
        <w:t>人无条件提供。</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4.制定可供选择的套餐餐标以满足不同就餐者的需求（医院职工推行自助餐后统一餐标）。</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5. 除提供餐饮服务外，还可根据职工和病员的需求出售油、米、奶、纸等, 出售的商品应为永辉或新世纪商场所售品牌，出售价格不能高于永辉或新世纪商场相同商品的零售价，所售物品需标明价格。</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（四）食材采购标准</w:t>
      </w:r>
    </w:p>
    <w:tbl>
      <w:tblPr>
        <w:tblStyle w:val="25"/>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415"/>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品类</w:t>
            </w:r>
          </w:p>
        </w:tc>
        <w:tc>
          <w:tcPr>
            <w:tcW w:w="54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技术指标参数</w:t>
            </w:r>
          </w:p>
        </w:tc>
        <w:tc>
          <w:tcPr>
            <w:tcW w:w="40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主要品种（包括但不限于以下品种）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肉类</w:t>
            </w:r>
          </w:p>
        </w:tc>
        <w:tc>
          <w:tcPr>
            <w:tcW w:w="54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1</w:t>
            </w:r>
            <w:r>
              <w:rPr>
                <w:rFonts w:hint="default" w:ascii="仿宋" w:hAnsi="仿宋" w:eastAsia="仿宋" w:cs="仿宋"/>
                <w:color w:val="auto"/>
                <w:szCs w:val="20"/>
                <w:highlight w:val="none"/>
                <w:lang w:val="zh-CN" w:eastAsia="zh-CN"/>
              </w:rPr>
              <w:t>.1符合GB2707-2016食品安全国家标准。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1</w:t>
            </w:r>
            <w:r>
              <w:rPr>
                <w:rFonts w:hint="default" w:ascii="仿宋" w:hAnsi="仿宋" w:eastAsia="仿宋" w:cs="仿宋"/>
                <w:color w:val="auto"/>
                <w:szCs w:val="20"/>
                <w:highlight w:val="none"/>
                <w:lang w:val="zh-CN" w:eastAsia="zh-CN"/>
              </w:rPr>
              <w:t>.2应有卫生检疫部门加盖的卫生检疫合格印章。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1</w:t>
            </w:r>
            <w:r>
              <w:rPr>
                <w:rFonts w:hint="default" w:ascii="仿宋" w:hAnsi="仿宋" w:eastAsia="仿宋" w:cs="仿宋"/>
                <w:color w:val="auto"/>
                <w:szCs w:val="20"/>
                <w:highlight w:val="none"/>
                <w:lang w:val="zh-CN" w:eastAsia="zh-CN"/>
              </w:rPr>
              <w:t>.3为供应当天屠宰，不得预冷带冰。感官正常，表皮无病状，肉质色泽光润有弹性，应当卫生干净，不得沾染毛发污血或其它污染物，气味正常。</w:t>
            </w:r>
          </w:p>
        </w:tc>
        <w:tc>
          <w:tcPr>
            <w:tcW w:w="40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1.猪</w:t>
            </w:r>
            <w:r>
              <w:rPr>
                <w:rFonts w:hint="default" w:ascii="仿宋" w:hAnsi="仿宋" w:eastAsia="仿宋" w:cs="仿宋"/>
                <w:color w:val="auto"/>
                <w:szCs w:val="20"/>
                <w:highlight w:val="none"/>
                <w:lang w:val="zh-CN" w:eastAsia="zh-CN"/>
              </w:rPr>
              <w:t>肉类：猪肉、猪排、猪蹄等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2.</w:t>
            </w:r>
            <w:r>
              <w:rPr>
                <w:rFonts w:hint="default" w:ascii="仿宋" w:hAnsi="仿宋" w:eastAsia="仿宋" w:cs="仿宋"/>
                <w:color w:val="auto"/>
                <w:szCs w:val="20"/>
                <w:highlight w:val="none"/>
                <w:lang w:val="zh-CN" w:eastAsia="zh-CN"/>
              </w:rPr>
              <w:t>牛肉类：牛肉、牛排、牛蹄等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3.</w:t>
            </w:r>
            <w:r>
              <w:rPr>
                <w:rFonts w:hint="default" w:ascii="仿宋" w:hAnsi="仿宋" w:eastAsia="仿宋" w:cs="仿宋"/>
                <w:color w:val="auto"/>
                <w:szCs w:val="20"/>
                <w:highlight w:val="none"/>
                <w:lang w:val="zh-CN" w:eastAsia="zh-CN"/>
              </w:rPr>
              <w:t>羊肉类：羊肉、羊排、羊蹄等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鱼</w:t>
            </w:r>
            <w:r>
              <w:rPr>
                <w:rFonts w:hint="default" w:ascii="仿宋" w:hAnsi="仿宋" w:eastAsia="仿宋" w:cs="仿宋"/>
                <w:color w:val="auto"/>
                <w:szCs w:val="20"/>
                <w:highlight w:val="none"/>
                <w:lang w:val="en-US" w:eastAsia="zh-CN"/>
              </w:rPr>
              <w:t>禽蛋类</w:t>
            </w:r>
          </w:p>
        </w:tc>
        <w:tc>
          <w:tcPr>
            <w:tcW w:w="54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2.1</w:t>
            </w:r>
            <w:r>
              <w:rPr>
                <w:rFonts w:hint="default" w:ascii="仿宋" w:hAnsi="仿宋" w:eastAsia="仿宋" w:cs="仿宋"/>
                <w:color w:val="auto"/>
                <w:szCs w:val="20"/>
                <w:highlight w:val="none"/>
                <w:lang w:val="zh-CN" w:eastAsia="zh-CN"/>
              </w:rPr>
              <w:t>鱼、虾、贝、藻等鲜、冻水货物类必须符合GB 2733-2015国家标准，淡水鱼、虾、贝类必须鲜活，且符合食品卫生相关标准及法规要求，生鲜冷冻品须配冷藏车运输。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zh-CN" w:eastAsia="zh-CN"/>
              </w:rPr>
              <w:t>2.2禽类符合GB2707-2016食品安全国家标准。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2</w:t>
            </w:r>
            <w:r>
              <w:rPr>
                <w:rFonts w:hint="default" w:ascii="仿宋" w:hAnsi="仿宋" w:eastAsia="仿宋" w:cs="仿宋"/>
                <w:color w:val="auto"/>
                <w:szCs w:val="20"/>
                <w:highlight w:val="none"/>
                <w:lang w:val="zh-CN" w:eastAsia="zh-CN"/>
              </w:rPr>
              <w:t>.3鲜蛋应大小均匀，无破裂，蛋体清洁，无斑点，无粪便，无血迹，无污染，蛋型正常，色泽鲜明，蛋白浓厚，蛋黄居中，轮廓明显，胚胎未发育且到期时间不低于保质期的二分之一。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2</w:t>
            </w:r>
            <w:r>
              <w:rPr>
                <w:rFonts w:hint="default" w:ascii="仿宋" w:hAnsi="仿宋" w:eastAsia="仿宋" w:cs="仿宋"/>
                <w:color w:val="auto"/>
                <w:szCs w:val="20"/>
                <w:highlight w:val="none"/>
                <w:lang w:val="zh-CN" w:eastAsia="zh-CN"/>
              </w:rPr>
              <w:t>.4加工类蛋制品符合国家标准和行业标准。</w:t>
            </w:r>
          </w:p>
        </w:tc>
        <w:tc>
          <w:tcPr>
            <w:tcW w:w="40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4.</w:t>
            </w:r>
            <w:r>
              <w:rPr>
                <w:rFonts w:hint="default" w:ascii="仿宋" w:hAnsi="仿宋" w:eastAsia="仿宋" w:cs="仿宋"/>
                <w:color w:val="auto"/>
                <w:szCs w:val="20"/>
                <w:highlight w:val="none"/>
                <w:lang w:val="en-US" w:eastAsia="zh-CN"/>
              </w:rPr>
              <w:t>水产类：草鱼、花莲鱼、鲤鱼、鱼丸、鱿鱼、大虾、鲫鱼、鲢鱼等。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5.</w:t>
            </w:r>
            <w:r>
              <w:rPr>
                <w:rFonts w:hint="default" w:ascii="仿宋" w:hAnsi="仿宋" w:eastAsia="仿宋" w:cs="仿宋"/>
                <w:color w:val="auto"/>
                <w:szCs w:val="20"/>
                <w:highlight w:val="none"/>
                <w:lang w:val="en-US" w:eastAsia="zh-CN"/>
              </w:rPr>
              <w:t>海鲜类：耗儿鱼 鲳鱼 带鱼 小黄鱼 扇贝 花甲 鱿鱼 龙利鱼 虾等。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6.</w:t>
            </w:r>
            <w:r>
              <w:rPr>
                <w:rFonts w:hint="default" w:ascii="仿宋" w:hAnsi="仿宋" w:eastAsia="仿宋" w:cs="仿宋"/>
                <w:color w:val="auto"/>
                <w:szCs w:val="20"/>
                <w:highlight w:val="none"/>
                <w:lang w:val="en-US" w:eastAsia="zh-CN"/>
              </w:rPr>
              <w:t>禽类：鸡脖、鸡腿、白条鸡、鸡脯肉、鸡翅、兔子、鸭等；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蛋类（素菜）：鲜鸡蛋、鲜鸭蛋、松花蛋、咸鸭蛋等。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7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蔬菜水果</w:t>
            </w:r>
          </w:p>
        </w:tc>
        <w:tc>
          <w:tcPr>
            <w:tcW w:w="54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3</w:t>
            </w:r>
            <w:r>
              <w:rPr>
                <w:rFonts w:hint="default" w:ascii="仿宋" w:hAnsi="仿宋" w:eastAsia="仿宋" w:cs="仿宋"/>
                <w:color w:val="auto"/>
                <w:szCs w:val="20"/>
                <w:highlight w:val="none"/>
                <w:lang w:val="zh-CN" w:eastAsia="zh-CN"/>
              </w:rPr>
              <w:t>.1新鲜水果、蔬菜，质量必须符合国家食品卫生管理规定：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3.2</w:t>
            </w:r>
            <w:r>
              <w:rPr>
                <w:rFonts w:hint="default" w:ascii="仿宋" w:hAnsi="仿宋" w:eastAsia="仿宋" w:cs="仿宋"/>
                <w:color w:val="auto"/>
                <w:szCs w:val="20"/>
                <w:highlight w:val="none"/>
                <w:lang w:val="zh-CN" w:eastAsia="zh-CN"/>
              </w:rPr>
              <w:t>农药残留不得超过《食品中农药最大残留限量》（GB2763-2019）国家标准；2021年9月3日起按照新版《食品安全国家标准食品中农药最大残留限量》执行。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zh-CN" w:eastAsia="zh-CN"/>
              </w:rPr>
              <w:t>3.3不得提供腐烂变质、黄叶、烂叶及带泥巴的蔬菜；蔬菜外表不得人为喷洒水分和有过多的虫孔；不得提供过长的菜头和菜根。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zh-CN" w:eastAsia="zh-CN"/>
              </w:rPr>
              <w:t>3.4果形端正，大小均匀，无畸形果，带果柄，果实无萎焉；果面新鲜洁净，无刺划伤，无压痕，无病虫害，无病斑，无腐烂；口感正常，具有水果特有的风味。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en-US" w:eastAsia="zh-CN"/>
              </w:rPr>
              <w:t>3</w:t>
            </w:r>
            <w:r>
              <w:rPr>
                <w:rFonts w:hint="default" w:ascii="仿宋" w:hAnsi="仿宋" w:eastAsia="仿宋" w:cs="仿宋"/>
                <w:color w:val="auto"/>
                <w:szCs w:val="20"/>
                <w:highlight w:val="none"/>
                <w:lang w:val="zh-CN" w:eastAsia="zh-CN"/>
              </w:rPr>
              <w:t>.5蔬菜、水果类质量必须符合国家食品卫生管理规定，要求成熟适度、必须是24小时内收成、新鲜脆嫩、外形色泽良好清洁、无影响使用的病虫害、无机械损伤，去根帮和老叶，利用率在95%以上，去杂，不切。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zh-CN" w:eastAsia="zh-CN"/>
              </w:rPr>
              <w:t>3.6供应商应当根据需求方要求出具农药残留检测报告。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r>
              <w:rPr>
                <w:rFonts w:hint="default" w:ascii="仿宋" w:hAnsi="仿宋" w:eastAsia="仿宋" w:cs="仿宋"/>
                <w:color w:val="auto"/>
                <w:szCs w:val="20"/>
                <w:highlight w:val="none"/>
                <w:lang w:val="zh-CN" w:eastAsia="zh-CN"/>
              </w:rPr>
              <w:t>不得提供有转基因的原材料及相应制品。</w:t>
            </w:r>
          </w:p>
        </w:tc>
        <w:tc>
          <w:tcPr>
            <w:tcW w:w="40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zh-CN" w:eastAsia="zh-CN"/>
              </w:rPr>
              <w:t>蔬菜：</w:t>
            </w:r>
            <w:r>
              <w:rPr>
                <w:rFonts w:hint="default" w:ascii="仿宋" w:hAnsi="仿宋" w:eastAsia="仿宋" w:cs="仿宋"/>
                <w:color w:val="auto"/>
                <w:szCs w:val="20"/>
                <w:highlight w:val="none"/>
                <w:lang w:val="en-US" w:eastAsia="zh-CN"/>
              </w:rPr>
              <w:t>大白菜、大头菜、菠菜、冬  瓜、豆角、绿豆芽、胡萝卜、花菜、尖  椒、黄瓜、角瓜、韭菜、茄子、芹  菜、油菜、青豆、青椒、土豆、西红柿、鲜蘑、洋葱、小白菜、白萝卜、豇豆角、葱、姜、蒜、蒜苔、茼蒿、雪里蕻、海带丝、南瓜、西兰花、榨  菜、香葱、芥菜丝、蒜苗、藕、香菜、杭椒、山药、青笋、玉米、红薯等。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zh-CN"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zh-CN" w:eastAsia="zh-CN"/>
              </w:rPr>
              <w:t>水果</w:t>
            </w:r>
            <w:r>
              <w:rPr>
                <w:rFonts w:hint="default" w:ascii="仿宋" w:hAnsi="仿宋" w:eastAsia="仿宋" w:cs="仿宋"/>
                <w:color w:val="auto"/>
                <w:szCs w:val="20"/>
                <w:highlight w:val="none"/>
                <w:lang w:val="en-US" w:eastAsia="zh-CN"/>
              </w:rPr>
              <w:t>：</w:t>
            </w:r>
            <w:r>
              <w:rPr>
                <w:rFonts w:hint="default" w:ascii="仿宋" w:hAnsi="仿宋" w:eastAsia="仿宋" w:cs="仿宋"/>
                <w:color w:val="auto"/>
                <w:szCs w:val="20"/>
                <w:highlight w:val="none"/>
                <w:lang w:val="zh-CN" w:eastAsia="zh-CN"/>
              </w:rPr>
              <w:t>苹果、梨、桃、香蕉、西瓜、杏、李、橘子等。</w:t>
            </w:r>
          </w:p>
        </w:tc>
      </w:tr>
    </w:tbl>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1.所有食品原材料需从正规渠道进货，并做到可追溯。不得进任何转基因食品、原则上不得采购冷冻食品:鸡、鸭、鱼、猪肉、牛肉(院方同意采购情况除外），不得进散装油。</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所有食品所用原料和半成品，采购与验货入库时应对食品相关资质、食品日期、食品包装、食品外观等方面进行综合、全面的检查；根据原料属性选择适合的储存方式；根据常规情况进行原料购进和预留，以免过量、过久储存；定期进行库房盘点，盘点时留意食物腐败情况，查看有无超过保质日期的食品，出库时做好记录；库房应保持干燥，定期通风；食品加工前对原料质量再次确认。</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3.特殊菜品，中</w:t>
      </w:r>
      <w:r>
        <w:rPr>
          <w:rFonts w:hint="eastAsia" w:ascii="仿宋" w:hAnsi="仿宋" w:eastAsia="仿宋" w:cs="仿宋"/>
          <w:color w:val="auto"/>
          <w:highlight w:val="none"/>
          <w:lang w:val="en-US" w:eastAsia="zh-CN"/>
        </w:rPr>
        <w:t>选</w:t>
      </w:r>
      <w:r>
        <w:rPr>
          <w:rFonts w:hint="default" w:ascii="仿宋" w:hAnsi="仿宋" w:eastAsia="仿宋" w:cs="仿宋"/>
          <w:color w:val="auto"/>
          <w:highlight w:val="none"/>
          <w:lang w:val="en-US" w:eastAsia="zh-CN"/>
        </w:rPr>
        <w:t>人需报公共卫生科和总务科报备，经管理部门同意后，可提前一天进行采购和粗加工。</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4.干副产品、水产品、蔬菜、零星物资等由中</w:t>
      </w:r>
      <w:r>
        <w:rPr>
          <w:rFonts w:hint="eastAsia" w:ascii="仿宋" w:hAnsi="仿宋" w:eastAsia="仿宋" w:cs="仿宋"/>
          <w:color w:val="auto"/>
          <w:highlight w:val="none"/>
          <w:lang w:val="en-US" w:eastAsia="zh-CN"/>
        </w:rPr>
        <w:t>选人</w:t>
      </w:r>
      <w:r>
        <w:rPr>
          <w:rFonts w:hint="default" w:ascii="仿宋" w:hAnsi="仿宋" w:eastAsia="仿宋" w:cs="仿宋"/>
          <w:color w:val="auto"/>
          <w:highlight w:val="none"/>
          <w:lang w:val="en-US" w:eastAsia="zh-CN"/>
        </w:rPr>
        <w:t>自行定点采购，商家（企业）供货商资质材料必须向医院食堂主管部门备案。</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5.中</w:t>
      </w:r>
      <w:r>
        <w:rPr>
          <w:rFonts w:hint="eastAsia" w:ascii="仿宋" w:hAnsi="仿宋" w:eastAsia="仿宋" w:cs="仿宋"/>
          <w:color w:val="auto"/>
          <w:highlight w:val="none"/>
          <w:lang w:val="en-US" w:eastAsia="zh-CN"/>
        </w:rPr>
        <w:t>选人</w:t>
      </w:r>
      <w:r>
        <w:rPr>
          <w:rFonts w:hint="default" w:ascii="仿宋" w:hAnsi="仿宋" w:eastAsia="仿宋" w:cs="仿宋"/>
          <w:color w:val="auto"/>
          <w:highlight w:val="none"/>
          <w:lang w:val="en-US" w:eastAsia="zh-CN"/>
        </w:rPr>
        <w:t>采购大宗物资（即米、面粉、食用油、畜禽肉类等）必须与供货单位签订采购合同，采购时必须向供货商索取工商营业执照及食品质量检测合格报告复印件等交医院食堂主管部门备案，并建立采购台帐记录；采购畜禽肉类原料时，必须查验并收取动物检疫部门出具的检验合格证明；采购的定型包装食品和食品添加剂，必须有品名、产地、厂名、生产日期、批号、或者代号、规格、配方或主要成份、保质期、食用或者使用方法等，选择的定点供货单位及采购品种必须报医院食堂主管部门备案。</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6.医院食堂主管部门有权对</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每天采购的物资进行监督、检查和登记，对发现的安全、质量、卫生等问题有权立即纠正并严肃处理，</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必须服从。</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7.食堂采购的所有食品在运输、交接及处理过程中不得直接接触地面，以防污染。</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（五）菜品及价格要求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保证菜品加工制作过程符合食品质量、卫生、安全、营养等相关要求。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售卖所有食品、货物价格均需报招标方监察审计科或物价管理员及总务科审核后方可实施，所有价格均需公示。</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3.实行菜谱审核制度。</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必须在每周四前将下一周菜谱交由总务科进行审核。</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bookmarkStart w:id="254" w:name="_Toc490234672"/>
      <w:r>
        <w:rPr>
          <w:rFonts w:hint="default" w:ascii="仿宋" w:hAnsi="仿宋" w:eastAsia="仿宋" w:cs="仿宋"/>
          <w:color w:val="auto"/>
          <w:highlight w:val="none"/>
          <w:lang w:val="en-US" w:eastAsia="zh-CN"/>
        </w:rPr>
        <w:t>（六）</w:t>
      </w:r>
      <w:bookmarkEnd w:id="254"/>
      <w:r>
        <w:rPr>
          <w:rFonts w:hint="default" w:ascii="仿宋" w:hAnsi="仿宋" w:eastAsia="仿宋" w:cs="仿宋"/>
          <w:color w:val="auto"/>
          <w:highlight w:val="none"/>
          <w:lang w:val="en-US" w:eastAsia="zh-CN"/>
        </w:rPr>
        <w:t>食品安全及卫生要求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严格执行有关食品安全法律法规，其经营管理和服务行为必须符合食品安全监管部门和行业要求，必须自行办理食品安全许可证等相关证件，承担食品安全责任。</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负责制定和实施餐饮服务、食品安全、卫生(个人卫生、场所卫生)、医疗卫生健康服务环境提升行动等的实施方案和管理措施，并按招标方要求做好服务区域的病媒生物防治、环境保护、控烟工作的落实以及食品安全相关证照、票据、台帐记录等档案资料的管理工作。</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3.避免食品污染：食品严格执行隔离要求，为避免蔬果类食品存在农药残留，应使用流水反复涮洗（油菜等叶菜类蔬菜应掰开后逐片涮洗），次数不少于 3 次，且先洗后切；加工时，根据食品属性（生品、半成品、成品）和种类（肉类、蛋类、蔬果类、海产类等）选择洁净的专用器皿。控制好食品用量：减少加工后半成品和熟制食品的存放时间，尽快用完和售完；熟制食品应加盖运送，避免污染物沾染。</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4.严格管控人员卫生：工作前，对从业人员进行个人卫生检查，对其身体情况进行询问，检查无误方可上岗工作；工作时，应衣帽整洁，将头发全部遮盖住，不宜佩戴饰物；佩戴口罩和手套，专间或专用操作区的从业人员应佩戴清洁的口罩；从业人员在做好个人卫生管理的基础上，进入专间操作须二次更衣；工作服应有清洗保洁制度，3天清洗一次，班前更换。离开食品作业区时要脱掉工作服，如去洗手间；佩戴手套前应对手部进行清洗消毒，摘除手套后应存放在清洁卫生的位置，确保手套应清洁、无破损，避免受到污染；手部清洗符合餐饮服务食品安全操作规范所要求的洗手消毒方法；食品处理区内不得有抽烟、饮食及其他可能污染食品的行为；进入食品处理区的非加工操作人员，应符合现场操作人员卫生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5.规范辅料的应用；控制加工与存放时的食品温度；严格执行食品留样；系统进行培训与考核，针对食物中毒相关的食品安全知识对食堂员工进行培训，留有培训记录。定期对员工进行食物中毒知识和预防食物中毒操作等方面的相关考核，考核通过方可继续上岗工作，不通者应再次培训；杜绝食物投毒，做好非食堂工作人员的出入记录，善于发现陌生人员的非正常行为，如有问题及时上报安保部门及相关领导，操作间无人时应关好门窗，食品加盖保存；食堂操作区域有监控系统的应保留影像资料至少7日；食堂负责人和食品安全管理人员应定期进行食品安全的日查、周查、月查，并留有记录；对上述各项预防措施的执行情况进行现场检查，提出问题，及时改进。</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6.</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负责对食堂设施设备用品的安全管理，做好餐厅的食品安全及治安安全防范，严禁无关人员进入厨房区域。</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7.</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须做到医院职工与病员就餐区域分开，使用餐具分开，预防院内感染。</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8.做好餐具消毒管理，用餐完毕及时对餐具进行清洗消毒后再存放，规范记录。</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9.</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做好就餐秩序的管理，员工进行刷餐卡消费。</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10.负责做好员工的安全教育和日常管理，确保食堂的安全及所属员工的人身及财产安全。所属员工发生任何人身事故和财产安全等，由</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承担全部责任。</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11.</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按要求制定食物中毒应急预案并完成演练工作，承担食品安全全部责任。</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12.服务区域清洁卫生。保证服务区域的餐区厅面、厨房内部、烟道清洗（每季度深度清洗不少于一次）、以及门前下水道、周边环境责任区及配套设施等的干净整洁，每周至少一次大扫除，并作好记录。</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（七）管理要求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1.合法经营，自负盈亏。</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须按本招标文件及合同的约定，自主合法经营、自负盈亏。</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2．不得对食堂进行任何形式的转让、转租和分租。若需要增加服务项目，需由院方书面同意且经管理部门考察后增设。经营范围仅限餐饮服务，不得擅自扩大经营范围，未经许可不准户外经营。</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 承接项目时，</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可根据项目情况，对原有场所进行合理布局、精准装修，费用由</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自行承担。原有设施设备、餐厨用具、燃气报警、智能AI系统等，附件1（按实支付）、附件2按明细清单与原中标单位进行洽商，对物资进行详细清点、认真查验，验收手续齐全；管理过程中，建立设施设备使用和维修维护档案，做好日常维修维护，建立维修保洁制度，正确使用设施设备，规范使用餐厨用具等物资。服务过程中，如需增配或更换餐厨用具，由</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自行购置更换。</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4.有完善的管理制度,包括日常管理、员工教育培训方案和员工奖惩管理办法等。</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default" w:ascii="仿宋" w:hAnsi="仿宋" w:eastAsia="仿宋" w:cs="仿宋"/>
          <w:color w:val="auto"/>
          <w:highlight w:val="none"/>
          <w:lang w:val="en-US" w:eastAsia="zh-CN"/>
        </w:rPr>
        <w:t>.在保证食品安全的前提下，允许食堂对外营业。</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r>
        <w:rPr>
          <w:rFonts w:hint="default" w:ascii="仿宋" w:hAnsi="仿宋" w:eastAsia="仿宋" w:cs="仿宋"/>
          <w:color w:val="auto"/>
          <w:highlight w:val="none"/>
          <w:lang w:val="en-US" w:eastAsia="zh-CN"/>
        </w:rPr>
        <w:t>.按时供餐，做好就餐服务应急方案，确保在特殊情况下能正常就餐</w:t>
      </w:r>
      <w:r>
        <w:rPr>
          <w:rFonts w:hint="eastAsia" w:ascii="仿宋" w:hAnsi="仿宋" w:eastAsia="仿宋" w:cs="仿宋"/>
          <w:color w:val="auto"/>
          <w:highlight w:val="none"/>
          <w:lang w:val="en-US" w:eastAsia="zh-CN"/>
        </w:rPr>
        <w:t>，包括食品安全、临时停水电气、大型公共卫生突发事件等预案</w:t>
      </w:r>
      <w:r>
        <w:rPr>
          <w:rFonts w:hint="default" w:ascii="仿宋" w:hAnsi="仿宋" w:eastAsia="仿宋" w:cs="仿宋"/>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default" w:ascii="仿宋" w:hAnsi="仿宋" w:eastAsia="仿宋" w:cs="仿宋"/>
          <w:color w:val="auto"/>
          <w:highlight w:val="none"/>
          <w:lang w:val="en-US" w:eastAsia="zh-CN"/>
        </w:rPr>
        <w:t>.食堂所有</w:t>
      </w:r>
      <w:r>
        <w:rPr>
          <w:rFonts w:hint="eastAsia" w:ascii="仿宋" w:hAnsi="仿宋" w:eastAsia="仿宋" w:cs="仿宋"/>
          <w:color w:val="auto"/>
          <w:highlight w:val="none"/>
          <w:lang w:val="en-US" w:eastAsia="zh-CN"/>
        </w:rPr>
        <w:t>工作</w:t>
      </w:r>
      <w:r>
        <w:rPr>
          <w:rFonts w:hint="default" w:ascii="仿宋" w:hAnsi="仿宋" w:eastAsia="仿宋" w:cs="仿宋"/>
          <w:color w:val="auto"/>
          <w:highlight w:val="none"/>
          <w:lang w:val="en-US" w:eastAsia="zh-CN"/>
        </w:rPr>
        <w:t>人员涉及的一切问题由</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自行解决，不得影响</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人管理和经营。</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r>
        <w:rPr>
          <w:rFonts w:hint="default" w:ascii="仿宋" w:hAnsi="仿宋" w:eastAsia="仿宋" w:cs="仿宋"/>
          <w:color w:val="auto"/>
          <w:highlight w:val="none"/>
          <w:lang w:val="en-US" w:eastAsia="zh-CN"/>
        </w:rPr>
        <w:t>.接受</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人对菜品质量和餐厅管理的建议意见，并在24小时内予以回复整改情况。</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人有权对食堂的食品安全、菜品质量、设备维护及运行情况等进行监督、检查、考核，</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需对检查情况进行整改并执行。</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r>
        <w:rPr>
          <w:rFonts w:hint="default" w:ascii="仿宋" w:hAnsi="仿宋" w:eastAsia="仿宋" w:cs="仿宋"/>
          <w:color w:val="auto"/>
          <w:highlight w:val="none"/>
          <w:lang w:val="en-US" w:eastAsia="zh-CN"/>
        </w:rPr>
        <w:t>.做好职工、病员及家属的服务工作，积极配合处理相关投诉。</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1</w:t>
      </w:r>
      <w:r>
        <w:rPr>
          <w:rFonts w:hint="default" w:ascii="仿宋" w:hAnsi="仿宋" w:eastAsia="仿宋" w:cs="仿宋"/>
          <w:color w:val="auto"/>
          <w:highlight w:val="none"/>
          <w:lang w:val="en-US" w:eastAsia="zh-CN"/>
        </w:rPr>
        <w:t>. 提供的服务和人员配备不能满足就餐服务需求的，</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人有权解除合同。</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.服从</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人的其他安排。保证食堂的定位，遵守限价规定，做好本职工作。招标方有权对</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食材进货渠道及食材质量进行监督检查，并对不合格项提出整改要求。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必须指派专人对食堂进行管理，并在医院食堂主管部门备案。</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定时对食堂油烟管道进行深度清洗，每年四次以上，并出具烟道检测报告，达到合格标准；对食堂有组织废气进行检测，每年二次以上，并出具检测报告，达到合格标准；如相关部门、文件要求进行频次的调整，或增加其他检测项目，</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无条件执行，产生的所有费用由</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承担。</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5.中选人</w:t>
      </w:r>
      <w:r>
        <w:rPr>
          <w:rFonts w:hint="default" w:ascii="仿宋" w:hAnsi="仿宋" w:eastAsia="仿宋" w:cs="仿宋"/>
          <w:color w:val="auto"/>
          <w:highlight w:val="none"/>
          <w:lang w:val="en-US" w:eastAsia="zh-CN"/>
        </w:rPr>
        <w:t>严格执行反食品浪费制度规范，并按相关要求配置管理人员，制定年度工作计划，落实反食品浪费的具体措施，加强宣传、督导等相关工作。</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6</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要全面落实反食品浪费措施。食品生产经营者要落实食品安全管理制度，严格执行生产工艺，做好生产过程关键点控制，改善食品储存、运输、加工条件，防止食品变质，降低储存、运输中的损耗。提高食品加工利用率，加强自查，避免过度加工和过量使用原材料。</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7</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要严格执行反食品浪费制度规范。餐饮服务经营者要将反对食品浪费纳入从业人员培训内容，提升餐饮供给质量，合理确定故量、分量，提供小份餐等不同规格选择，提供公勺公筷，做好打包服务，主动对消费者进行防止餐饮浪费提醒，餐饮外卖平台以显著方式提示消费者适量点餐、理性消费。鼓励餐饮服务经营者提供分餐服务，向社会公开反食品浪费情况。</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8</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须配合完成招标人下达的消费帮扶目标任务。</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（八）、职工就餐卡消费方式</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1.职工就餐卡只限于食堂使用消费。</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2.食堂承租人未经医院同意不得对职工餐卡余额清零。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就医院员工每次消费后须向消费者提供消费信息。</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（九）其他要求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1.医院食堂处于洪水淹没高风险地区，如经营期间遇洪水淹没，食堂重新装修的费用由</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自行承担，合同到期后，食堂设施设备、餐具厨具归</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所有，停业期间</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须保障医院全院职工及病人的正常用餐。</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2.合同期内如无洪灾，合同到期后，食堂正常运营的设施设备、餐具厨具、燃气报警、智能AI等所有物资无偿归属采购人，</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须协助采购人办理相关交接手续。</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在经营期间，须保证</w:t>
      </w:r>
      <w:r>
        <w:rPr>
          <w:rFonts w:hint="eastAsia" w:ascii="仿宋" w:hAnsi="仿宋" w:eastAsia="仿宋" w:cs="仿宋"/>
          <w:color w:val="auto"/>
          <w:highlight w:val="none"/>
          <w:lang w:val="en-US" w:eastAsia="zh-CN"/>
        </w:rPr>
        <w:t>食堂功能、布局、流程等符合市场监督局和招标人要求，</w:t>
      </w:r>
      <w:r>
        <w:rPr>
          <w:rFonts w:hint="default" w:ascii="仿宋" w:hAnsi="仿宋" w:eastAsia="仿宋" w:cs="仿宋"/>
          <w:color w:val="auto"/>
          <w:highlight w:val="none"/>
          <w:lang w:val="en-US" w:eastAsia="zh-CN"/>
        </w:rPr>
        <w:t>所有设施设备达到正常运行标准，需换新的设施设备、餐具厨具等与食堂经营相关的所有投入，费用由</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承担。</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4.</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应充分考虑合同期内政策性调整的风险，</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在经营期间，因政策调整，采购人有权单方面无偿终止合同，或者要求</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无偿按新的政策执行。</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5.</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食品安全事故和其他安全事故为0。</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6.</w:t>
      </w:r>
      <w:r>
        <w:rPr>
          <w:rFonts w:hint="eastAsia" w:ascii="仿宋" w:hAnsi="仿宋" w:eastAsia="仿宋" w:cs="仿宋"/>
          <w:color w:val="auto"/>
          <w:highlight w:val="none"/>
          <w:lang w:val="en-US" w:eastAsia="zh-CN"/>
        </w:rPr>
        <w:t>参比人</w:t>
      </w:r>
      <w:r>
        <w:rPr>
          <w:rFonts w:hint="default" w:ascii="仿宋" w:hAnsi="仿宋" w:eastAsia="仿宋" w:cs="仿宋"/>
          <w:color w:val="auto"/>
          <w:highlight w:val="none"/>
          <w:lang w:val="en-US" w:eastAsia="zh-CN"/>
        </w:rPr>
        <w:t>提供近三年区食药监局出具的未受到行政处罚的证明。</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bookmarkStart w:id="255" w:name="_Toc499571491"/>
      <w:bookmarkStart w:id="256" w:name="_Toc498792112"/>
      <w:r>
        <w:rPr>
          <w:rFonts w:hint="default" w:ascii="仿宋" w:hAnsi="仿宋" w:eastAsia="仿宋" w:cs="仿宋"/>
          <w:color w:val="auto"/>
          <w:highlight w:val="none"/>
          <w:lang w:val="en-US" w:eastAsia="zh-CN"/>
        </w:rPr>
        <w:t>三、检查考核</w:t>
      </w:r>
      <w:bookmarkEnd w:id="255"/>
      <w:bookmarkEnd w:id="256"/>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 由医院公共卫生科对食品原材料进行抽查，如发现转基因食品、未经院方同意采购冷冻食品（鸡、鸭、鱼、猪肉、牛肉），第一次责令其立即整改；第二次扣除履约保证金的10%；第三次直接终止合同，扣除全部履约保证金。</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2.由医院</w:t>
      </w:r>
      <w:r>
        <w:rPr>
          <w:rFonts w:hint="default" w:ascii="仿宋" w:hAnsi="仿宋" w:eastAsia="仿宋" w:cs="仿宋"/>
          <w:color w:val="auto"/>
          <w:highlight w:val="none"/>
          <w:lang w:val="en-US" w:eastAsia="zh-CN"/>
        </w:rPr>
        <w:t>公共卫生科</w:t>
      </w:r>
      <w:r>
        <w:rPr>
          <w:rFonts w:hint="eastAsia" w:ascii="仿宋" w:hAnsi="仿宋" w:eastAsia="仿宋" w:cs="仿宋"/>
          <w:color w:val="auto"/>
          <w:highlight w:val="none"/>
          <w:lang w:val="en-US" w:eastAsia="zh-CN"/>
        </w:rPr>
        <w:t>或总务科对过期食品进行抽查，根据食品种类、过期时间等因素，发现一次，对中选人处以500-3000元的扣款。</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.由总务科对食堂的环境卫生进行抽查，如发现环境卫生不达标的，对</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处以50元/处的扣款；卫生状况较差的，可根据实际情况处以100-500</w:t>
      </w:r>
      <w:r>
        <w:rPr>
          <w:rFonts w:hint="eastAsia" w:ascii="仿宋" w:hAnsi="仿宋" w:eastAsia="仿宋" w:cs="仿宋"/>
          <w:color w:val="auto"/>
          <w:highlight w:val="none"/>
          <w:lang w:val="en-US" w:eastAsia="zh-CN"/>
        </w:rPr>
        <w:t>元</w:t>
      </w:r>
      <w:r>
        <w:rPr>
          <w:rFonts w:hint="default" w:ascii="仿宋" w:hAnsi="仿宋" w:eastAsia="仿宋" w:cs="仿宋"/>
          <w:color w:val="auto"/>
          <w:highlight w:val="none"/>
          <w:lang w:val="en-US" w:eastAsia="zh-CN"/>
        </w:rPr>
        <w:t>的扣款，并责令</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立即整改，整改后仍不能达标的，</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工作人员违反医院的规章制度、管理规定，一经查实，</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为此承担违约金50~300元/次。</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工作人员在工作期间与他人发生争吵和肢体冲突的，</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为此承担违约金100~500元/次；情节严重或屡犯（三次以上）者，采购人有权提出更换要求。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人每季度由工会组织食堂满意度调查（每季度问卷不得少于50份），调查结果纳入当季度服务质量综合考核，满意度调查达到75%及以上为合格。若低于75%的，</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人向</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下达整改通知，在下季度</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人再次进行测评仍低于75%，则在测评季度末月的餐费中扣应付餐费6000元。累计3次出现满意度低于75%，甲方有权单方面终止合同，</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五年内不得再参与我院招标。</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default" w:ascii="仿宋" w:hAnsi="仿宋" w:eastAsia="仿宋" w:cs="仿宋"/>
          <w:color w:val="auto"/>
          <w:highlight w:val="none"/>
          <w:lang w:val="en-US" w:eastAsia="zh-CN"/>
        </w:rPr>
        <w:t>. 如出现季度职工满意度调查低于60%，扣除履约保证金的20%，且</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r>
        <w:rPr>
          <w:rFonts w:hint="default" w:ascii="仿宋" w:hAnsi="仿宋" w:eastAsia="仿宋" w:cs="仿宋"/>
          <w:color w:val="auto"/>
          <w:highlight w:val="none"/>
          <w:lang w:val="en-US" w:eastAsia="zh-CN"/>
        </w:rPr>
        <w:t xml:space="preserve">. </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人总务科每月组织一次对食堂综合质量考核（详见重庆市巴南区第二人民医院食堂综合质量考核表）。考核得分超过80分的为合格，支付</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全额餐费用；考核得分在70-79分的，低于80分每少1分，扣应付餐费500元；考核得分在70分以下的，扣应付餐费6000元。连续3月低于70分，</w:t>
      </w:r>
      <w:r>
        <w:rPr>
          <w:rFonts w:hint="eastAsia" w:ascii="仿宋" w:hAnsi="仿宋" w:eastAsia="仿宋" w:cs="仿宋"/>
          <w:color w:val="auto"/>
          <w:highlight w:val="none"/>
          <w:lang w:val="en-US" w:eastAsia="zh-CN"/>
        </w:rPr>
        <w:t>采购</w:t>
      </w:r>
      <w:r>
        <w:rPr>
          <w:rFonts w:hint="default" w:ascii="仿宋" w:hAnsi="仿宋" w:eastAsia="仿宋" w:cs="仿宋"/>
          <w:color w:val="auto"/>
          <w:highlight w:val="none"/>
          <w:lang w:val="en-US" w:eastAsia="zh-CN"/>
        </w:rPr>
        <w:t>人可单方面解除合同且不退还履约保证金。</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中选人应依法用工，所有在岗人员需身体健康，定期进行健康体检，不得使用不宜从事餐饮人员，否则，采购人有权按照院内规定进行处罚。中选人需按现行法律、法规规定及政策要求与员工签定用工合同并购买相应社会保险等，若中选人与其员工之间发生任何纠纷争议，相关纠纷争议的解决及责任由中选人自行承担。中选人必须保证餐饮卫生、饮食食品质量、食品安全、消防安全等，若因此引发任何不良事件发生或不良后果（包括但不限于上级主管部门对食堂的监督处罚），全部责任均由中选人承担，涉嫌犯罪的移送司法机关处理。中选人在合同期限内发生的任何纠纷争议及不良事件导致采购人承担责任的，采购人有权向中选人进行追偿。</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center"/>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重庆市巴南区第二人民医院食堂综合质量考核表</w:t>
      </w:r>
    </w:p>
    <w:tbl>
      <w:tblPr>
        <w:tblStyle w:val="26"/>
        <w:tblpPr w:leftFromText="180" w:rightFromText="180" w:vertAnchor="text" w:horzAnchor="page" w:tblpX="1807" w:tblpY="30"/>
        <w:tblOverlap w:val="never"/>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359"/>
        <w:gridCol w:w="2254"/>
        <w:gridCol w:w="96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考核项目    （100分）</w:t>
            </w:r>
          </w:p>
        </w:tc>
        <w:tc>
          <w:tcPr>
            <w:tcW w:w="2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检查标准</w:t>
            </w:r>
          </w:p>
        </w:tc>
        <w:tc>
          <w:tcPr>
            <w:tcW w:w="2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扣分标准</w:t>
            </w:r>
          </w:p>
        </w:tc>
        <w:tc>
          <w:tcPr>
            <w:tcW w:w="9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扣分</w:t>
            </w:r>
          </w:p>
        </w:tc>
        <w:tc>
          <w:tcPr>
            <w:tcW w:w="10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1.遵守许可情况（10分）</w:t>
            </w:r>
          </w:p>
        </w:tc>
        <w:tc>
          <w:tcPr>
            <w:tcW w:w="2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是否存在超范围经营；许可证是否到期</w:t>
            </w:r>
          </w:p>
        </w:tc>
        <w:tc>
          <w:tcPr>
            <w:tcW w:w="2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检查时发现一处不合格扣5分</w:t>
            </w:r>
          </w:p>
        </w:tc>
        <w:tc>
          <w:tcPr>
            <w:tcW w:w="9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c>
          <w:tcPr>
            <w:tcW w:w="10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2.从业人员管理（10）</w:t>
            </w:r>
          </w:p>
        </w:tc>
        <w:tc>
          <w:tcPr>
            <w:tcW w:w="2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符合餐饮人员从业相关标准、着装规范</w:t>
            </w:r>
          </w:p>
        </w:tc>
        <w:tc>
          <w:tcPr>
            <w:tcW w:w="2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检查时发现一处不合格扣1分</w:t>
            </w:r>
          </w:p>
        </w:tc>
        <w:tc>
          <w:tcPr>
            <w:tcW w:w="9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c>
          <w:tcPr>
            <w:tcW w:w="10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3.环境卫生管理 （10分）</w:t>
            </w:r>
          </w:p>
        </w:tc>
        <w:tc>
          <w:tcPr>
            <w:tcW w:w="2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符合食堂环境卫生要求</w:t>
            </w:r>
          </w:p>
        </w:tc>
        <w:tc>
          <w:tcPr>
            <w:tcW w:w="2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检查时每发现一次或一样达不到要求扣1分</w:t>
            </w:r>
          </w:p>
        </w:tc>
        <w:tc>
          <w:tcPr>
            <w:tcW w:w="9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c>
          <w:tcPr>
            <w:tcW w:w="10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4.设施设备管理（10分）</w:t>
            </w:r>
          </w:p>
        </w:tc>
        <w:tc>
          <w:tcPr>
            <w:tcW w:w="2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设施设备运行正常、定期维护清洗</w:t>
            </w:r>
          </w:p>
        </w:tc>
        <w:tc>
          <w:tcPr>
            <w:tcW w:w="2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检查时每发现一次或一样达不到要求扣1分</w:t>
            </w:r>
          </w:p>
        </w:tc>
        <w:tc>
          <w:tcPr>
            <w:tcW w:w="9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c>
          <w:tcPr>
            <w:tcW w:w="10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5.原辅材料管理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（20分）</w:t>
            </w:r>
          </w:p>
        </w:tc>
        <w:tc>
          <w:tcPr>
            <w:tcW w:w="2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食品采购符合招标方案要求，达到可追溯、记录完整、准确等</w:t>
            </w:r>
          </w:p>
        </w:tc>
        <w:tc>
          <w:tcPr>
            <w:tcW w:w="2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检查时发现一样达不到招标要求或记录不完整扣1分</w:t>
            </w:r>
          </w:p>
        </w:tc>
        <w:tc>
          <w:tcPr>
            <w:tcW w:w="96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c>
          <w:tcPr>
            <w:tcW w:w="10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6.食品库房管理    （10分）</w:t>
            </w:r>
          </w:p>
        </w:tc>
        <w:tc>
          <w:tcPr>
            <w:tcW w:w="2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食品贮存规范；库房干净整洁</w:t>
            </w:r>
          </w:p>
        </w:tc>
        <w:tc>
          <w:tcPr>
            <w:tcW w:w="2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检查时每发现一次食品储存、管理达不到要求扣1分</w:t>
            </w:r>
          </w:p>
        </w:tc>
        <w:tc>
          <w:tcPr>
            <w:tcW w:w="96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c>
          <w:tcPr>
            <w:tcW w:w="10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7.食品加工制作管理 （20分）</w:t>
            </w:r>
          </w:p>
        </w:tc>
        <w:tc>
          <w:tcPr>
            <w:tcW w:w="2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食品加工符合招标方案要求，符合食品安全要求</w:t>
            </w:r>
          </w:p>
        </w:tc>
        <w:tc>
          <w:tcPr>
            <w:tcW w:w="2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检查时每发现一次达不到本次招标方案食品安全加工要求或</w:t>
            </w:r>
            <w:r>
              <w:rPr>
                <w:rFonts w:hint="eastAsia" w:ascii="仿宋" w:hAnsi="仿宋" w:eastAsia="仿宋" w:cs="仿宋"/>
                <w:color w:val="auto"/>
                <w:szCs w:val="20"/>
                <w:highlight w:val="none"/>
                <w:lang w:val="en-US" w:eastAsia="zh-CN"/>
              </w:rPr>
              <w:t>中选人</w:t>
            </w:r>
            <w:r>
              <w:rPr>
                <w:rFonts w:hint="default" w:ascii="仿宋" w:hAnsi="仿宋" w:eastAsia="仿宋" w:cs="仿宋"/>
                <w:color w:val="auto"/>
                <w:szCs w:val="20"/>
                <w:highlight w:val="none"/>
                <w:lang w:val="en-US" w:eastAsia="zh-CN"/>
              </w:rPr>
              <w:t>餐标服务承诺扣1分</w:t>
            </w:r>
          </w:p>
        </w:tc>
        <w:tc>
          <w:tcPr>
            <w:tcW w:w="96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c>
          <w:tcPr>
            <w:tcW w:w="10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8.餐具清洗消毒管理（10分）</w:t>
            </w:r>
          </w:p>
        </w:tc>
        <w:tc>
          <w:tcPr>
            <w:tcW w:w="2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清洗消毒设施正常运行，清洗消毒池是否专用。</w:t>
            </w:r>
          </w:p>
        </w:tc>
        <w:tc>
          <w:tcPr>
            <w:tcW w:w="2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检查时每发现一处达不到要求扣1分</w:t>
            </w:r>
          </w:p>
        </w:tc>
        <w:tc>
          <w:tcPr>
            <w:tcW w:w="96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c>
          <w:tcPr>
            <w:tcW w:w="10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43"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jc w:val="left"/>
              <w:textAlignment w:val="auto"/>
              <w:rPr>
                <w:rFonts w:hint="default" w:ascii="仿宋" w:hAnsi="仿宋" w:eastAsia="仿宋" w:cs="仿宋"/>
                <w:color w:val="auto"/>
                <w:szCs w:val="20"/>
                <w:highlight w:val="none"/>
                <w:lang w:val="en-US" w:eastAsia="zh-CN"/>
              </w:rPr>
            </w:pPr>
            <w:r>
              <w:rPr>
                <w:rFonts w:hint="default" w:ascii="仿宋" w:hAnsi="仿宋" w:eastAsia="仿宋" w:cs="仿宋"/>
                <w:color w:val="auto"/>
                <w:szCs w:val="20"/>
                <w:highlight w:val="none"/>
                <w:lang w:val="en-US" w:eastAsia="zh-CN"/>
              </w:rPr>
              <w:t>9.考核得分（80分及以上为合格）</w:t>
            </w:r>
          </w:p>
        </w:tc>
        <w:tc>
          <w:tcPr>
            <w:tcW w:w="96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c>
          <w:tcPr>
            <w:tcW w:w="10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default" w:ascii="仿宋" w:hAnsi="仿宋" w:eastAsia="仿宋" w:cs="仿宋"/>
                <w:color w:val="auto"/>
                <w:szCs w:val="20"/>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说明：1. 以上扣分依据以每次检查及招标人食堂管理部门接到的有效投诉。</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 以上分值每项扣完为止。</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default" w:ascii="仿宋" w:hAnsi="仿宋" w:eastAsia="仿宋" w:cs="仿宋"/>
          <w:color w:val="auto"/>
          <w:highlight w:val="none"/>
          <w:lang w:val="en-US" w:eastAsia="zh-CN"/>
        </w:rPr>
        <w:t>3．如发生食物中毒事件，招标方可解除合同且不退还履约保证金，同时要求</w:t>
      </w:r>
      <w:r>
        <w:rPr>
          <w:rFonts w:hint="eastAsia" w:ascii="仿宋" w:hAnsi="仿宋" w:eastAsia="仿宋" w:cs="仿宋"/>
          <w:color w:val="auto"/>
          <w:highlight w:val="none"/>
          <w:lang w:val="en-US" w:eastAsia="zh-CN"/>
        </w:rPr>
        <w:t>中选人</w:t>
      </w:r>
      <w:r>
        <w:rPr>
          <w:rFonts w:hint="default" w:ascii="仿宋" w:hAnsi="仿宋" w:eastAsia="仿宋" w:cs="仿宋"/>
          <w:color w:val="auto"/>
          <w:highlight w:val="none"/>
          <w:lang w:val="en-US" w:eastAsia="zh-CN"/>
        </w:rPr>
        <w:t>赔付相关人员医药费、误工费等费用并追究相关法律责任。</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center"/>
        <w:textAlignment w:val="auto"/>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重庆市巴南区第二人民医院</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center"/>
        <w:textAlignment w:val="auto"/>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食堂硬件设施安装费用明细表</w:t>
      </w:r>
    </w:p>
    <w:p>
      <w:pPr>
        <w:rPr>
          <w:rFonts w:hint="eastAsia" w:ascii="仿宋" w:hAnsi="仿宋" w:eastAsia="仿宋" w:cs="仿宋"/>
          <w:color w:val="auto"/>
          <w:sz w:val="24"/>
          <w:szCs w:val="24"/>
          <w:highlight w:val="none"/>
        </w:rPr>
      </w:pPr>
    </w:p>
    <w:tbl>
      <w:tblPr>
        <w:tblStyle w:val="25"/>
        <w:tblW w:w="87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580"/>
        <w:gridCol w:w="1290"/>
        <w:gridCol w:w="1785"/>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  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价格（元）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燃气报警器探头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燃气报警无线连接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燃气报警器主机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燃气报警切断阀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AI监控摄像头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监控摄像头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监控存储盒+机电盒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监控数据线（米）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17320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bl>
    <w:p>
      <w:pPr>
        <w:snapToGrid w:val="0"/>
        <w:spacing w:line="500" w:lineRule="exact"/>
        <w:ind w:firstLine="1643" w:firstLineChars="750"/>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textAlignment w:val="auto"/>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center"/>
        <w:textAlignment w:val="auto"/>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重庆市巴南区第二人民医院</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center"/>
        <w:textAlignment w:val="auto"/>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食堂设施设备明细表</w:t>
      </w:r>
    </w:p>
    <w:tbl>
      <w:tblPr>
        <w:tblStyle w:val="25"/>
        <w:tblpPr w:leftFromText="180" w:rightFromText="180" w:vertAnchor="text" w:horzAnchor="page" w:tblpX="1995" w:tblpY="525"/>
        <w:tblOverlap w:val="never"/>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38"/>
        <w:gridCol w:w="832"/>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bookmarkStart w:id="257" w:name="_Toc413248731"/>
            <w:r>
              <w:rPr>
                <w:rFonts w:hint="eastAsia" w:ascii="仿宋" w:hAnsi="仿宋" w:eastAsia="仿宋" w:cs="仿宋"/>
                <w:b/>
                <w:bCs/>
                <w:i w:val="0"/>
                <w:iCs w:val="0"/>
                <w:color w:val="auto"/>
                <w:kern w:val="0"/>
                <w:sz w:val="24"/>
                <w:szCs w:val="24"/>
                <w:highlight w:val="none"/>
                <w:u w:val="none"/>
                <w:lang w:val="en-US" w:eastAsia="zh-CN" w:bidi="ar"/>
              </w:rPr>
              <w:t>序号</w:t>
            </w:r>
            <w:bookmarkEnd w:id="257"/>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bookmarkStart w:id="258" w:name="_Toc413248732"/>
            <w:r>
              <w:rPr>
                <w:rFonts w:hint="eastAsia" w:ascii="仿宋" w:hAnsi="仿宋" w:eastAsia="仿宋" w:cs="仿宋"/>
                <w:b/>
                <w:bCs/>
                <w:i w:val="0"/>
                <w:iCs w:val="0"/>
                <w:color w:val="auto"/>
                <w:kern w:val="0"/>
                <w:sz w:val="24"/>
                <w:szCs w:val="24"/>
                <w:highlight w:val="none"/>
                <w:u w:val="none"/>
                <w:lang w:val="en-US" w:eastAsia="zh-CN" w:bidi="ar"/>
              </w:rPr>
              <w:t>设备名称</w:t>
            </w:r>
            <w:bookmarkEnd w:id="258"/>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bookmarkStart w:id="259" w:name="_Toc413248733"/>
            <w:r>
              <w:rPr>
                <w:rFonts w:hint="eastAsia" w:ascii="仿宋" w:hAnsi="仿宋" w:eastAsia="仿宋" w:cs="仿宋"/>
                <w:b/>
                <w:bCs/>
                <w:i w:val="0"/>
                <w:iCs w:val="0"/>
                <w:color w:val="auto"/>
                <w:kern w:val="0"/>
                <w:sz w:val="24"/>
                <w:szCs w:val="24"/>
                <w:highlight w:val="none"/>
                <w:u w:val="none"/>
                <w:lang w:val="en-US" w:eastAsia="zh-CN" w:bidi="ar"/>
              </w:rPr>
              <w:t>数量</w:t>
            </w:r>
            <w:bookmarkEnd w:id="259"/>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四开门的冰箱</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卧式冷冻柜110*60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单开门保鲜柜200*60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单开门留样冰箱150*50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操作台冰箱150*60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操作台冰箱180*80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1.5p空调挂机</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5p吸顶美的空调</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5p格力柜机</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双眼燃气节能灶</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单眼燃气节能灶</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24盘燃气蒸饭车</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燃气煲汤炉</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燃气煮面炉</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燃气蒸馒头灶</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1.2米风幕机</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1.0米风幕机</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吸顶风扇灯52寸</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保温餐车150*70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保温餐车220*70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灭蝇灯</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智能洗碗消毒机</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豆浆机</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电脑</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消毒柜160*60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消毒柜双开门170*110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洗菜池180*60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洗碗池120*60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洗手池</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拖把池</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定制收货架140*30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定制售货架155*30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定制货架210*60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定制货架178*60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36</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定制货架180*60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定制货架145*60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38</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定制货架120*40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定制货架280*60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定制货架470*60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41</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不锈钢菜架115*50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不锈钢柜子100*50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43</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白案台180*80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44</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不锈钢操作台80*60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不锈钢操作台120*60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46</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不锈钢操作台70*55</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47</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不锈钢操作台70*45</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48</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不锈钢操作台130*80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49</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不锈钢操作台187*70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不锈钢操作台50*65</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51</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不锈钢操作台80*30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52</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不锈钢操作台100*80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53</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美的微波炉</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54</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大高压锅</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55</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大电饭锅</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56</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不锈钢大桶45*46</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57</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不锈钢桶大桶60*60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58</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油烟净化器12000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59</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380V5500瓦风机</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定制吧台打餐台</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61</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120圆桌</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62</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140圆桌</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63</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240*70餐桌</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64</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120*70餐桌</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65</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牛角椅</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7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66</w:t>
            </w:r>
          </w:p>
        </w:tc>
        <w:tc>
          <w:tcPr>
            <w:tcW w:w="32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收餐台120*60</w:t>
            </w:r>
          </w:p>
        </w:tc>
        <w:tc>
          <w:tcPr>
            <w:tcW w:w="83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6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bookmarkEnd w:id="245"/>
    <w:bookmarkEnd w:id="246"/>
    <w:bookmarkEnd w:id="247"/>
    <w:bookmarkEnd w:id="248"/>
    <w:bookmarkEnd w:id="249"/>
    <w:p>
      <w:pPr>
        <w:pStyle w:val="3"/>
        <w:numPr>
          <w:ilvl w:val="0"/>
          <w:numId w:val="0"/>
        </w:numPr>
        <w:tabs>
          <w:tab w:val="clear" w:pos="3360"/>
        </w:tabs>
        <w:spacing w:before="120" w:after="120"/>
        <w:jc w:val="center"/>
        <w:rPr>
          <w:rFonts w:hint="eastAsia"/>
          <w:color w:val="auto"/>
          <w:szCs w:val="22"/>
          <w:highlight w:val="none"/>
        </w:rPr>
      </w:pPr>
      <w:bookmarkStart w:id="260" w:name="_Toc13454"/>
      <w:bookmarkStart w:id="261" w:name="_Toc14357"/>
      <w:bookmarkStart w:id="262" w:name="_Toc4600"/>
      <w:bookmarkStart w:id="263" w:name="_Toc7209"/>
      <w:bookmarkStart w:id="264" w:name="_Toc29474"/>
      <w:bookmarkStart w:id="265" w:name="_Toc17260"/>
      <w:bookmarkStart w:id="266" w:name="_Toc30653"/>
      <w:bookmarkStart w:id="267" w:name="_Toc21839"/>
      <w:bookmarkStart w:id="268" w:name="_Toc1773"/>
      <w:bookmarkStart w:id="269" w:name="_Toc13929"/>
      <w:bookmarkStart w:id="270" w:name="_Toc22492"/>
      <w:bookmarkStart w:id="271" w:name="_Toc48837306"/>
      <w:bookmarkStart w:id="272" w:name="_Toc29208"/>
      <w:bookmarkStart w:id="273" w:name="_Toc29690"/>
      <w:bookmarkStart w:id="274" w:name="_Toc626"/>
      <w:bookmarkStart w:id="275" w:name="_Toc19831"/>
      <w:bookmarkStart w:id="276" w:name="_Toc6981"/>
      <w:bookmarkStart w:id="277" w:name="_Toc525"/>
      <w:bookmarkStart w:id="278" w:name="_Toc17633"/>
      <w:bookmarkStart w:id="279" w:name="_Toc8563"/>
      <w:bookmarkStart w:id="280" w:name="_Toc14010"/>
      <w:bookmarkStart w:id="281" w:name="_Toc22261"/>
      <w:bookmarkStart w:id="282" w:name="_Toc4982"/>
      <w:bookmarkStart w:id="283" w:name="_Toc7413"/>
      <w:bookmarkStart w:id="284" w:name="_Toc1898"/>
      <w:bookmarkStart w:id="285" w:name="_Toc4813"/>
      <w:bookmarkStart w:id="286" w:name="_Toc3944"/>
      <w:bookmarkStart w:id="287" w:name="_Toc27837"/>
      <w:r>
        <w:rPr>
          <w:rFonts w:hint="eastAsia"/>
          <w:color w:val="auto"/>
          <w:szCs w:val="22"/>
          <w:highlight w:val="none"/>
          <w:lang w:eastAsia="zh-CN"/>
        </w:rPr>
        <w:t>第三篇</w:t>
      </w:r>
      <w:r>
        <w:rPr>
          <w:rFonts w:hint="eastAsia"/>
          <w:color w:val="auto"/>
          <w:szCs w:val="22"/>
          <w:highlight w:val="none"/>
          <w:lang w:val="en-US" w:eastAsia="zh-CN"/>
        </w:rPr>
        <w:t xml:space="preserve"> </w:t>
      </w:r>
      <w:r>
        <w:rPr>
          <w:rFonts w:hint="eastAsia"/>
          <w:color w:val="auto"/>
          <w:szCs w:val="22"/>
          <w:highlight w:val="none"/>
        </w:rPr>
        <w:t>采购商务要求</w:t>
      </w:r>
      <w:bookmarkEnd w:id="24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Start w:id="288" w:name="_Toc384905065"/>
      <w:bookmarkStart w:id="289" w:name="_Toc409189624"/>
    </w:p>
    <w:bookmarkEnd w:id="288"/>
    <w:bookmarkEnd w:id="289"/>
    <w:p>
      <w:pPr>
        <w:pStyle w:val="4"/>
        <w:keepNext/>
        <w:keepLines/>
        <w:pageBreakBefore w:val="0"/>
        <w:widowControl w:val="0"/>
        <w:suppressLineNumbers w:val="0"/>
        <w:suppressAutoHyphens w:val="0"/>
        <w:kinsoku/>
        <w:wordWrap/>
        <w:overflowPunct/>
        <w:topLinePunct w:val="0"/>
        <w:autoSpaceDE/>
        <w:autoSpaceDN/>
        <w:bidi w:val="0"/>
        <w:spacing w:line="520" w:lineRule="exact"/>
        <w:ind w:firstLine="518" w:firstLineChars="200"/>
        <w:textAlignment w:val="auto"/>
        <w:rPr>
          <w:rFonts w:hint="eastAsia" w:ascii="仿宋" w:hAnsi="仿宋" w:eastAsia="仿宋" w:cs="仿宋"/>
          <w:color w:val="auto"/>
          <w:highlight w:val="none"/>
        </w:rPr>
      </w:pPr>
      <w:bookmarkStart w:id="290" w:name="_Toc36064036"/>
      <w:bookmarkStart w:id="291" w:name="_Toc36064000"/>
      <w:bookmarkStart w:id="292" w:name="_Toc36064072"/>
      <w:bookmarkStart w:id="293" w:name="_Toc32329170"/>
      <w:bookmarkStart w:id="294" w:name="_Toc32329212"/>
      <w:bookmarkStart w:id="295" w:name="_Toc32329124"/>
      <w:bookmarkStart w:id="296" w:name="_Toc32329071"/>
      <w:bookmarkStart w:id="297" w:name="_Toc32120"/>
      <w:r>
        <w:rPr>
          <w:rFonts w:hint="eastAsia" w:ascii="仿宋" w:hAnsi="仿宋" w:eastAsia="仿宋" w:cs="仿宋"/>
          <w:color w:val="auto"/>
          <w:highlight w:val="none"/>
        </w:rPr>
        <w:t>一、</w:t>
      </w:r>
      <w:bookmarkEnd w:id="290"/>
      <w:bookmarkEnd w:id="291"/>
      <w:bookmarkEnd w:id="292"/>
      <w:bookmarkEnd w:id="293"/>
      <w:bookmarkEnd w:id="294"/>
      <w:bookmarkEnd w:id="295"/>
      <w:bookmarkEnd w:id="296"/>
      <w:r>
        <w:rPr>
          <w:rFonts w:hint="eastAsia" w:ascii="仿宋" w:hAnsi="仿宋" w:eastAsia="仿宋" w:cs="仿宋"/>
          <w:color w:val="auto"/>
          <w:highlight w:val="none"/>
        </w:rPr>
        <w:t>服务期要求、服务地点</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highlight w:val="none"/>
          <w:lang w:eastAsia="zh-CN"/>
        </w:rPr>
      </w:pPr>
      <w:bookmarkStart w:id="298" w:name="_Toc32329171"/>
      <w:bookmarkStart w:id="299" w:name="_Toc493506291"/>
      <w:bookmarkStart w:id="300" w:name="_Toc36064001"/>
      <w:bookmarkStart w:id="301" w:name="_Toc32329072"/>
      <w:bookmarkStart w:id="302" w:name="_Toc32329125"/>
      <w:bookmarkStart w:id="303" w:name="_Toc36064073"/>
      <w:bookmarkStart w:id="304" w:name="_Toc32329213"/>
      <w:bookmarkStart w:id="305" w:name="_Toc36064037"/>
      <w:bookmarkStart w:id="306" w:name="_Toc267320050"/>
      <w:r>
        <w:rPr>
          <w:rFonts w:hint="eastAsia" w:ascii="仿宋" w:hAnsi="仿宋" w:eastAsia="仿宋" w:cs="仿宋"/>
          <w:color w:val="auto"/>
          <w:highlight w:val="none"/>
          <w:lang w:eastAsia="zh-CN"/>
        </w:rPr>
        <w:t>（一）服务期要求：如中选人在考核及职工满意度达不到要求、在食品安全、服务质量方面出现重大问题的，采购人有权单方面终止合同且不退还履约保证金。</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（二）服务地点：重庆市巴南区第二人民医院。</w:t>
      </w:r>
    </w:p>
    <w:p>
      <w:pPr>
        <w:pStyle w:val="4"/>
        <w:pageBreakBefore w:val="0"/>
        <w:widowControl w:val="0"/>
        <w:kinsoku/>
        <w:wordWrap/>
        <w:overflowPunct/>
        <w:topLinePunct w:val="0"/>
        <w:autoSpaceDE/>
        <w:autoSpaceDN/>
        <w:bidi w:val="0"/>
        <w:spacing w:line="520" w:lineRule="exact"/>
        <w:ind w:firstLine="518" w:firstLineChars="200"/>
        <w:textAlignment w:val="auto"/>
        <w:rPr>
          <w:rFonts w:hint="eastAsia" w:ascii="仿宋" w:hAnsi="仿宋" w:eastAsia="仿宋" w:cs="仿宋"/>
          <w:b w:val="0"/>
          <w:color w:val="auto"/>
          <w:kern w:val="2"/>
          <w:sz w:val="24"/>
          <w:highlight w:val="none"/>
          <w:lang w:val="en-US" w:eastAsia="zh-CN" w:bidi="ar-SA"/>
        </w:rPr>
      </w:pPr>
      <w:r>
        <w:rPr>
          <w:rFonts w:hint="eastAsia" w:ascii="仿宋" w:hAnsi="仿宋" w:eastAsia="仿宋" w:cs="仿宋"/>
          <w:color w:val="auto"/>
          <w:highlight w:val="none"/>
        </w:rPr>
        <w:t>二、</w:t>
      </w:r>
      <w:bookmarkEnd w:id="298"/>
      <w:bookmarkEnd w:id="299"/>
      <w:bookmarkEnd w:id="300"/>
      <w:bookmarkEnd w:id="301"/>
      <w:bookmarkEnd w:id="302"/>
      <w:bookmarkEnd w:id="303"/>
      <w:bookmarkEnd w:id="304"/>
      <w:bookmarkEnd w:id="305"/>
      <w:r>
        <w:rPr>
          <w:rFonts w:hint="eastAsia" w:ascii="仿宋" w:hAnsi="仿宋" w:eastAsia="仿宋" w:cs="仿宋"/>
          <w:color w:val="auto"/>
          <w:highlight w:val="none"/>
          <w:lang w:eastAsia="zh-CN"/>
        </w:rPr>
        <w:t>服务期</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highlight w:val="none"/>
          <w:lang w:eastAsia="zh-CN"/>
        </w:rPr>
      </w:pPr>
      <w:bookmarkStart w:id="307" w:name="_Toc32329172"/>
      <w:bookmarkStart w:id="308" w:name="_Toc32329126"/>
      <w:bookmarkStart w:id="309" w:name="_Toc32329073"/>
      <w:bookmarkStart w:id="310" w:name="_Toc36064074"/>
      <w:bookmarkStart w:id="311" w:name="_Toc493506292"/>
      <w:bookmarkStart w:id="312" w:name="_Toc32329214"/>
      <w:bookmarkStart w:id="313" w:name="_Toc36064002"/>
      <w:bookmarkStart w:id="314" w:name="_Toc36064038"/>
      <w:r>
        <w:rPr>
          <w:rFonts w:hint="eastAsia" w:ascii="仿宋" w:hAnsi="仿宋" w:eastAsia="仿宋" w:cs="仿宋"/>
          <w:color w:val="auto"/>
          <w:highlight w:val="none"/>
          <w:lang w:eastAsia="zh-CN"/>
        </w:rPr>
        <w:t>服务期限为</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年，从</w:t>
      </w:r>
      <w:r>
        <w:rPr>
          <w:rFonts w:hint="eastAsia" w:ascii="仿宋" w:hAnsi="仿宋" w:eastAsia="仿宋" w:cs="仿宋"/>
          <w:color w:val="auto"/>
          <w:highlight w:val="none"/>
          <w:lang w:val="en-US" w:eastAsia="zh-CN"/>
        </w:rPr>
        <w:t>2024年1月1日至2025年12月31日</w:t>
      </w:r>
      <w:r>
        <w:rPr>
          <w:rFonts w:hint="eastAsia" w:ascii="仿宋" w:hAnsi="仿宋" w:eastAsia="仿宋" w:cs="仿宋"/>
          <w:color w:val="auto"/>
          <w:highlight w:val="none"/>
          <w:lang w:eastAsia="zh-CN"/>
        </w:rPr>
        <w:t>。在服务期内，严格按照采购人要求及行业相关要求提供服务。</w:t>
      </w:r>
    </w:p>
    <w:bookmarkEnd w:id="306"/>
    <w:bookmarkEnd w:id="307"/>
    <w:bookmarkEnd w:id="308"/>
    <w:bookmarkEnd w:id="309"/>
    <w:bookmarkEnd w:id="310"/>
    <w:bookmarkEnd w:id="311"/>
    <w:bookmarkEnd w:id="312"/>
    <w:bookmarkEnd w:id="313"/>
    <w:bookmarkEnd w:id="314"/>
    <w:p>
      <w:pPr>
        <w:pStyle w:val="4"/>
        <w:pageBreakBefore w:val="0"/>
        <w:widowControl w:val="0"/>
        <w:kinsoku/>
        <w:wordWrap/>
        <w:overflowPunct/>
        <w:topLinePunct w:val="0"/>
        <w:autoSpaceDE/>
        <w:autoSpaceDN/>
        <w:bidi w:val="0"/>
        <w:spacing w:line="520" w:lineRule="exact"/>
        <w:ind w:firstLine="518" w:firstLineChars="200"/>
        <w:textAlignment w:val="auto"/>
        <w:rPr>
          <w:rFonts w:hint="eastAsia" w:ascii="仿宋" w:hAnsi="仿宋" w:eastAsia="仿宋" w:cs="仿宋"/>
          <w:b/>
          <w:color w:val="auto"/>
          <w:highlight w:val="none"/>
        </w:rPr>
      </w:pPr>
      <w:bookmarkStart w:id="315" w:name="_Toc36064039"/>
      <w:bookmarkStart w:id="316" w:name="_Toc36064075"/>
      <w:bookmarkStart w:id="317" w:name="_Toc493506293"/>
      <w:bookmarkStart w:id="318" w:name="_Toc32329173"/>
      <w:bookmarkStart w:id="319" w:name="_Toc32329215"/>
      <w:bookmarkStart w:id="320" w:name="_Toc32329074"/>
      <w:bookmarkStart w:id="321" w:name="_Toc36064003"/>
      <w:bookmarkStart w:id="322" w:name="_Toc267320051"/>
      <w:bookmarkStart w:id="323" w:name="_Toc32329127"/>
      <w:r>
        <w:rPr>
          <w:rFonts w:hint="eastAsia" w:ascii="仿宋" w:hAnsi="仿宋" w:eastAsia="仿宋" w:cs="仿宋"/>
          <w:b/>
          <w:color w:val="auto"/>
          <w:highlight w:val="none"/>
          <w:lang w:eastAsia="zh-CN"/>
        </w:rPr>
        <w:t>三</w:t>
      </w:r>
      <w:r>
        <w:rPr>
          <w:rFonts w:hint="eastAsia" w:ascii="仿宋" w:hAnsi="仿宋" w:eastAsia="仿宋" w:cs="仿宋"/>
          <w:b/>
          <w:color w:val="auto"/>
          <w:highlight w:val="none"/>
        </w:rPr>
        <w:t>、付款方式</w:t>
      </w:r>
      <w:bookmarkEnd w:id="315"/>
      <w:bookmarkEnd w:id="316"/>
      <w:bookmarkEnd w:id="317"/>
      <w:bookmarkEnd w:id="318"/>
      <w:bookmarkEnd w:id="319"/>
      <w:bookmarkEnd w:id="320"/>
      <w:bookmarkEnd w:id="321"/>
      <w:bookmarkEnd w:id="322"/>
      <w:bookmarkEnd w:id="323"/>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highlight w:val="none"/>
          <w:lang w:eastAsia="zh-CN"/>
        </w:rPr>
      </w:pPr>
      <w:bookmarkStart w:id="324" w:name="_Toc32329174"/>
      <w:bookmarkStart w:id="325" w:name="_Toc36064040"/>
      <w:bookmarkStart w:id="326" w:name="_Toc32329128"/>
      <w:bookmarkStart w:id="327" w:name="_Toc36064076"/>
      <w:bookmarkStart w:id="328" w:name="_Toc32329075"/>
      <w:bookmarkStart w:id="329" w:name="_Toc267320052"/>
      <w:bookmarkStart w:id="330" w:name="_Toc493506294"/>
      <w:bookmarkStart w:id="331" w:name="_Toc32329216"/>
      <w:bookmarkStart w:id="332" w:name="_Toc36064004"/>
      <w:r>
        <w:rPr>
          <w:rFonts w:hint="eastAsia" w:ascii="仿宋" w:hAnsi="仿宋" w:eastAsia="仿宋" w:cs="仿宋"/>
          <w:color w:val="auto"/>
          <w:highlight w:val="none"/>
          <w:lang w:eastAsia="zh-CN"/>
        </w:rPr>
        <w:t>按月付款。每月初采购人按照上月医院实际消费金额支付款项，考核费用在当月费用中扣除（特殊情况除外）；</w:t>
      </w:r>
    </w:p>
    <w:p>
      <w:pPr>
        <w:pStyle w:val="4"/>
        <w:pageBreakBefore w:val="0"/>
        <w:widowControl w:val="0"/>
        <w:kinsoku/>
        <w:wordWrap/>
        <w:overflowPunct/>
        <w:topLinePunct w:val="0"/>
        <w:autoSpaceDE/>
        <w:autoSpaceDN/>
        <w:bidi w:val="0"/>
        <w:spacing w:line="520" w:lineRule="exact"/>
        <w:ind w:firstLine="518"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w:t>
      </w:r>
      <w:bookmarkEnd w:id="324"/>
      <w:bookmarkEnd w:id="325"/>
      <w:bookmarkEnd w:id="326"/>
      <w:bookmarkEnd w:id="327"/>
      <w:bookmarkEnd w:id="328"/>
      <w:bookmarkEnd w:id="329"/>
      <w:bookmarkEnd w:id="330"/>
      <w:bookmarkEnd w:id="331"/>
      <w:bookmarkEnd w:id="332"/>
      <w:r>
        <w:rPr>
          <w:rFonts w:hint="eastAsia" w:ascii="仿宋" w:hAnsi="仿宋" w:eastAsia="仿宋" w:cs="仿宋"/>
          <w:color w:val="auto"/>
          <w:highlight w:val="none"/>
          <w:lang w:eastAsia="zh-CN"/>
        </w:rPr>
        <w:t>履约保证金</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highlight w:val="none"/>
          <w:lang w:eastAsia="zh-CN"/>
        </w:rPr>
      </w:pPr>
      <w:bookmarkStart w:id="333" w:name="_Toc493506295"/>
      <w:bookmarkStart w:id="334" w:name="_Toc36064005"/>
      <w:bookmarkStart w:id="335" w:name="_Toc32329217"/>
      <w:bookmarkStart w:id="336" w:name="_Toc36064077"/>
      <w:bookmarkStart w:id="337" w:name="_Toc32329076"/>
      <w:bookmarkStart w:id="338" w:name="_Toc32329129"/>
      <w:bookmarkStart w:id="339" w:name="_Toc36064041"/>
      <w:bookmarkStart w:id="340" w:name="_Toc32329175"/>
      <w:r>
        <w:rPr>
          <w:rFonts w:hint="eastAsia" w:ascii="仿宋" w:hAnsi="仿宋" w:eastAsia="仿宋" w:cs="仿宋"/>
          <w:color w:val="auto"/>
          <w:highlight w:val="none"/>
          <w:lang w:eastAsia="zh-CN"/>
        </w:rPr>
        <w:t>（一）合同签订前成交人向采购人缴纳</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0万元的履约保证金（以支票、汇票、本票或者金融机构、担保机构出具的保函等非现金形式提交）；</w:t>
      </w:r>
    </w:p>
    <w:p>
      <w:pPr>
        <w:pageBreakBefore w:val="0"/>
        <w:widowControl w:val="0"/>
        <w:kinsoku/>
        <w:wordWrap/>
        <w:overflowPunct/>
        <w:topLinePunct w:val="0"/>
        <w:autoSpaceDE/>
        <w:autoSpaceDN/>
        <w:bidi w:val="0"/>
        <w:spacing w:line="520" w:lineRule="exact"/>
        <w:ind w:firstLine="438" w:firstLineChars="200"/>
        <w:textAlignment w:val="auto"/>
        <w:rPr>
          <w:rFonts w:hint="eastAsia"/>
          <w:color w:val="auto"/>
          <w:highlight w:val="none"/>
          <w:lang w:eastAsia="zh-CN"/>
        </w:rPr>
      </w:pPr>
      <w:r>
        <w:rPr>
          <w:rFonts w:hint="eastAsia" w:ascii="仿宋" w:hAnsi="仿宋" w:eastAsia="仿宋" w:cs="仿宋"/>
          <w:color w:val="auto"/>
          <w:highlight w:val="none"/>
          <w:lang w:eastAsia="zh-CN"/>
        </w:rPr>
        <w:t>（二）履约保证金在服务期满经采购人对交付成交人使用设施、设备、餐厨用品进行验收后30天内无息退还给成交人。</w:t>
      </w:r>
    </w:p>
    <w:p>
      <w:pPr>
        <w:pStyle w:val="4"/>
        <w:pageBreakBefore w:val="0"/>
        <w:widowControl w:val="0"/>
        <w:kinsoku/>
        <w:wordWrap/>
        <w:overflowPunct/>
        <w:topLinePunct w:val="0"/>
        <w:autoSpaceDE/>
        <w:autoSpaceDN/>
        <w:bidi w:val="0"/>
        <w:spacing w:line="520" w:lineRule="exact"/>
        <w:ind w:firstLine="51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六、</w:t>
      </w:r>
      <w:bookmarkEnd w:id="333"/>
      <w:r>
        <w:rPr>
          <w:rFonts w:hint="eastAsia" w:ascii="仿宋" w:hAnsi="仿宋" w:eastAsia="仿宋" w:cs="仿宋"/>
          <w:color w:val="auto"/>
          <w:highlight w:val="none"/>
        </w:rPr>
        <w:t>其他商务要求内容</w:t>
      </w:r>
      <w:bookmarkEnd w:id="334"/>
      <w:bookmarkEnd w:id="335"/>
      <w:bookmarkEnd w:id="336"/>
      <w:bookmarkEnd w:id="337"/>
      <w:bookmarkEnd w:id="338"/>
      <w:bookmarkEnd w:id="339"/>
      <w:bookmarkEnd w:id="340"/>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highlight w:val="none"/>
          <w:lang w:val="en-US" w:eastAsia="zh-CN"/>
        </w:rPr>
      </w:pPr>
      <w:bookmarkStart w:id="341" w:name="_Toc493506296"/>
      <w:r>
        <w:rPr>
          <w:rFonts w:hint="eastAsia" w:ascii="仿宋" w:hAnsi="仿宋" w:eastAsia="仿宋" w:cs="仿宋"/>
          <w:color w:val="auto"/>
          <w:highlight w:val="none"/>
          <w:lang w:val="en-US" w:eastAsia="zh-CN"/>
        </w:rPr>
        <w:t>成交人</w:t>
      </w:r>
      <w:r>
        <w:rPr>
          <w:rFonts w:hint="eastAsia" w:ascii="仿宋" w:hAnsi="仿宋" w:eastAsia="仿宋" w:cs="仿宋"/>
          <w:color w:val="auto"/>
          <w:highlight w:val="none"/>
        </w:rPr>
        <w:t>不得转包或分包</w:t>
      </w:r>
      <w:r>
        <w:rPr>
          <w:rFonts w:hint="eastAsia" w:ascii="仿宋" w:hAnsi="仿宋" w:eastAsia="仿宋" w:cs="仿宋"/>
          <w:color w:val="auto"/>
          <w:highlight w:val="none"/>
          <w:lang w:val="en-US" w:eastAsia="zh-CN"/>
        </w:rPr>
        <w:t>该项目</w:t>
      </w:r>
    </w:p>
    <w:p>
      <w:pPr>
        <w:pageBreakBefore w:val="0"/>
        <w:widowControl w:val="0"/>
        <w:kinsoku/>
        <w:wordWrap/>
        <w:overflowPunct/>
        <w:topLinePunct w:val="0"/>
        <w:autoSpaceDE/>
        <w:autoSpaceDN/>
        <w:bidi w:val="0"/>
        <w:adjustRightInd w:val="0"/>
        <w:snapToGrid w:val="0"/>
        <w:spacing w:line="520" w:lineRule="exact"/>
        <w:ind w:firstLine="518" w:firstLineChars="200"/>
        <w:jc w:val="left"/>
        <w:textAlignment w:val="auto"/>
        <w:rPr>
          <w:rFonts w:ascii="方正仿宋_GBK" w:hAnsi="方正仿宋_GBK" w:eastAsia="仿宋" w:cs="方正仿宋_GBK"/>
          <w:color w:val="auto"/>
          <w:szCs w:val="28"/>
          <w:highlight w:val="none"/>
        </w:rPr>
      </w:pPr>
      <w:bookmarkStart w:id="342" w:name="_Toc36064006"/>
      <w:bookmarkStart w:id="343" w:name="_Toc32329077"/>
      <w:bookmarkStart w:id="344" w:name="_Toc32329218"/>
      <w:bookmarkStart w:id="345" w:name="_Toc36064042"/>
      <w:bookmarkStart w:id="346" w:name="_Toc36064078"/>
      <w:bookmarkStart w:id="347" w:name="_Toc32329130"/>
      <w:bookmarkStart w:id="348" w:name="_Toc32329176"/>
      <w:r>
        <w:rPr>
          <w:rFonts w:hint="eastAsia" w:ascii="仿宋" w:hAnsi="仿宋" w:eastAsia="仿宋" w:cs="仿宋"/>
          <w:b/>
          <w:color w:val="auto"/>
          <w:kern w:val="0"/>
          <w:sz w:val="28"/>
          <w:highlight w:val="none"/>
          <w:lang w:val="en-US" w:eastAsia="zh-CN" w:bidi="ar-SA"/>
        </w:rPr>
        <w:t>七、</w:t>
      </w:r>
      <w:bookmarkEnd w:id="341"/>
      <w:r>
        <w:rPr>
          <w:rFonts w:hint="eastAsia" w:ascii="仿宋" w:hAnsi="仿宋" w:eastAsia="仿宋" w:cs="仿宋"/>
          <w:b/>
          <w:color w:val="auto"/>
          <w:kern w:val="0"/>
          <w:sz w:val="28"/>
          <w:highlight w:val="none"/>
          <w:lang w:val="en-US" w:eastAsia="zh-CN" w:bidi="ar-SA"/>
        </w:rPr>
        <w:t>其他</w:t>
      </w:r>
      <w:bookmarkEnd w:id="342"/>
      <w:bookmarkEnd w:id="343"/>
      <w:bookmarkEnd w:id="344"/>
      <w:bookmarkEnd w:id="345"/>
      <w:bookmarkEnd w:id="346"/>
      <w:bookmarkEnd w:id="347"/>
      <w:bookmarkEnd w:id="348"/>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人必须在响应文件中对以上条款和服务承诺明确列出，承诺内容必须达到本篇及招标文件其他条款的要求。</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人在响应文件中各项条款要求及服务承诺内容列入采购合同，并纳入</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人对其考核内容。</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highlight w:val="none"/>
        </w:rPr>
        <w:sectPr>
          <w:headerReference r:id="rId5" w:type="default"/>
          <w:footerReference r:id="rId6" w:type="default"/>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93" w:charSpace="-4325"/>
        </w:sectPr>
      </w:pPr>
      <w:r>
        <w:rPr>
          <w:rFonts w:hint="eastAsia" w:ascii="仿宋" w:hAnsi="仿宋" w:eastAsia="仿宋" w:cs="仿宋"/>
          <w:color w:val="auto"/>
          <w:highlight w:val="none"/>
        </w:rPr>
        <w:t>（三）其他未尽事宜由双方在合同中详细约定。</w:t>
      </w:r>
    </w:p>
    <w:bookmarkEnd w:id="297"/>
    <w:p>
      <w:pPr>
        <w:pStyle w:val="3"/>
        <w:numPr>
          <w:ilvl w:val="0"/>
          <w:numId w:val="0"/>
        </w:numPr>
        <w:tabs>
          <w:tab w:val="clear" w:pos="3360"/>
        </w:tabs>
        <w:spacing w:before="120" w:after="120"/>
        <w:ind w:leftChars="0"/>
        <w:rPr>
          <w:rFonts w:hint="eastAsia"/>
          <w:color w:val="auto"/>
          <w:szCs w:val="22"/>
          <w:highlight w:val="none"/>
        </w:rPr>
      </w:pPr>
      <w:bookmarkStart w:id="349" w:name="_Toc20828"/>
      <w:bookmarkStart w:id="350" w:name="_Toc22566"/>
      <w:bookmarkStart w:id="351" w:name="_Toc19592"/>
      <w:bookmarkStart w:id="352" w:name="_Toc1839"/>
      <w:bookmarkStart w:id="353" w:name="_Toc5105"/>
      <w:bookmarkStart w:id="354" w:name="_Toc3130"/>
      <w:bookmarkStart w:id="355" w:name="_Toc29498"/>
      <w:bookmarkStart w:id="356" w:name="_Toc29580"/>
      <w:bookmarkStart w:id="357" w:name="_Toc28660"/>
      <w:bookmarkStart w:id="358" w:name="_Toc1690"/>
      <w:bookmarkStart w:id="359" w:name="_Toc7497"/>
      <w:bookmarkStart w:id="360" w:name="_Toc27935"/>
      <w:bookmarkStart w:id="361" w:name="_Toc6833"/>
      <w:bookmarkStart w:id="362" w:name="_Toc22499"/>
      <w:bookmarkStart w:id="363" w:name="_Toc22480"/>
      <w:r>
        <w:rPr>
          <w:rFonts w:hint="eastAsia"/>
          <w:color w:val="auto"/>
          <w:szCs w:val="22"/>
          <w:highlight w:val="none"/>
          <w:lang w:eastAsia="zh-CN"/>
        </w:rPr>
        <w:t>第四篇</w:t>
      </w:r>
      <w:r>
        <w:rPr>
          <w:rFonts w:hint="eastAsia"/>
          <w:color w:val="auto"/>
          <w:szCs w:val="22"/>
          <w:highlight w:val="none"/>
          <w:lang w:val="en-US" w:eastAsia="zh-CN"/>
        </w:rPr>
        <w:t xml:space="preserve">  </w:t>
      </w:r>
      <w:r>
        <w:rPr>
          <w:rFonts w:hint="eastAsia"/>
          <w:color w:val="auto"/>
          <w:szCs w:val="22"/>
          <w:highlight w:val="none"/>
          <w:lang w:eastAsia="zh-CN"/>
        </w:rPr>
        <w:t>比选</w:t>
      </w:r>
      <w:r>
        <w:rPr>
          <w:rFonts w:hint="eastAsia"/>
          <w:color w:val="auto"/>
          <w:szCs w:val="22"/>
          <w:highlight w:val="none"/>
        </w:rPr>
        <w:t>程序及方法、评审标准、无效响应和采购终止</w:t>
      </w:r>
      <w:bookmarkEnd w:id="349"/>
      <w:bookmarkEnd w:id="350"/>
      <w:bookmarkEnd w:id="351"/>
      <w:bookmarkEnd w:id="352"/>
      <w:bookmarkEnd w:id="353"/>
      <w:bookmarkEnd w:id="354"/>
      <w:bookmarkEnd w:id="355"/>
      <w:bookmarkEnd w:id="356"/>
      <w:bookmarkEnd w:id="357"/>
      <w:bookmarkEnd w:id="358"/>
      <w:bookmarkEnd w:id="359"/>
      <w:bookmarkEnd w:id="360"/>
      <w:bookmarkEnd w:id="361"/>
    </w:p>
    <w:p>
      <w:pPr>
        <w:spacing w:before="156" w:after="156" w:line="520" w:lineRule="exact"/>
        <w:ind w:firstLine="438" w:firstLineChars="200"/>
        <w:jc w:val="left"/>
        <w:outlineLvl w:val="1"/>
        <w:rPr>
          <w:rFonts w:eastAsia="仿宋" w:cs="宋体"/>
          <w:b/>
          <w:bCs/>
          <w:color w:val="auto"/>
          <w:szCs w:val="28"/>
          <w:highlight w:val="none"/>
        </w:rPr>
      </w:pPr>
      <w:bookmarkStart w:id="364" w:name="_Toc22465"/>
      <w:bookmarkStart w:id="365" w:name="_Toc24307"/>
      <w:bookmarkStart w:id="366" w:name="_Toc24613"/>
      <w:bookmarkStart w:id="367" w:name="_Toc28893"/>
      <w:bookmarkStart w:id="368" w:name="_Toc8498"/>
      <w:bookmarkStart w:id="369" w:name="_Toc22776"/>
      <w:bookmarkStart w:id="370" w:name="_Toc28796"/>
      <w:bookmarkStart w:id="371" w:name="_Toc28762"/>
      <w:bookmarkStart w:id="372" w:name="_Toc24723"/>
      <w:bookmarkStart w:id="373" w:name="_Toc96"/>
      <w:bookmarkStart w:id="374" w:name="_Toc10656"/>
      <w:bookmarkStart w:id="375" w:name="_Toc1562"/>
      <w:bookmarkStart w:id="376" w:name="_Toc12159"/>
      <w:bookmarkStart w:id="377" w:name="_Toc30732"/>
      <w:bookmarkStart w:id="378" w:name="_Toc9779"/>
      <w:bookmarkStart w:id="379" w:name="_Toc11657"/>
      <w:bookmarkStart w:id="380" w:name="_Toc30420"/>
      <w:bookmarkStart w:id="381" w:name="_Toc22527"/>
      <w:bookmarkStart w:id="382" w:name="_Toc13835"/>
      <w:bookmarkStart w:id="383" w:name="_Toc32136"/>
      <w:bookmarkStart w:id="384" w:name="_Toc32210"/>
      <w:bookmarkStart w:id="385" w:name="_Toc13507"/>
      <w:bookmarkStart w:id="386" w:name="_Toc27190"/>
      <w:bookmarkStart w:id="387" w:name="_Toc48837316"/>
      <w:bookmarkStart w:id="388" w:name="_Toc9442"/>
      <w:bookmarkStart w:id="389" w:name="_Toc29327"/>
      <w:r>
        <w:rPr>
          <w:rFonts w:hint="eastAsia" w:eastAsia="仿宋" w:cs="宋体"/>
          <w:b/>
          <w:bCs/>
          <w:color w:val="auto"/>
          <w:szCs w:val="28"/>
          <w:highlight w:val="none"/>
        </w:rPr>
        <w:t>一、</w:t>
      </w:r>
      <w:r>
        <w:rPr>
          <w:rFonts w:hint="eastAsia" w:eastAsia="仿宋" w:cs="宋体"/>
          <w:b/>
          <w:bCs/>
          <w:color w:val="auto"/>
          <w:szCs w:val="28"/>
          <w:highlight w:val="none"/>
          <w:lang w:eastAsia="zh-CN"/>
        </w:rPr>
        <w:t>比选</w:t>
      </w:r>
      <w:r>
        <w:rPr>
          <w:rFonts w:hint="eastAsia" w:eastAsia="仿宋" w:cs="宋体"/>
          <w:b/>
          <w:bCs/>
          <w:color w:val="auto"/>
          <w:szCs w:val="28"/>
          <w:highlight w:val="none"/>
        </w:rPr>
        <w:t>程序及方法</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spacing w:line="520" w:lineRule="exact"/>
        <w:ind w:firstLine="438" w:firstLineChars="200"/>
        <w:jc w:val="left"/>
        <w:rPr>
          <w:rFonts w:ascii="方正仿宋_GBK" w:hAnsi="仿宋" w:eastAsia="仿宋" w:cs="仿宋"/>
          <w:color w:val="auto"/>
          <w:kern w:val="0"/>
          <w:szCs w:val="28"/>
          <w:highlight w:val="none"/>
        </w:rPr>
      </w:pPr>
      <w:bookmarkStart w:id="390" w:name="_Toc493506300"/>
      <w:bookmarkStart w:id="391" w:name="_Toc492721017"/>
      <w:bookmarkStart w:id="392" w:name="_Toc26415"/>
      <w:bookmarkStart w:id="393" w:name="_Toc495592656"/>
      <w:r>
        <w:rPr>
          <w:rFonts w:hint="eastAsia" w:ascii="方正仿宋_GBK" w:hAnsi="仿宋" w:eastAsia="仿宋" w:cs="仿宋"/>
          <w:color w:val="auto"/>
          <w:kern w:val="0"/>
          <w:szCs w:val="28"/>
          <w:highlight w:val="none"/>
        </w:rPr>
        <w:t>（一）</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按</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文件规定的时间和地点进行，供应商须有法定代表人（或其授权代表）或自然人参加并签到。由本项目依法组建的</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小组（以下简称</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小组）分别与各供应商进行</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小组对各供应商的资格条件、响应文件的有效性、完整性和响应程度进行审查。各供应商只有在完全符合要求的前提下，才能参与正式</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1.资格性审查。依据法律法规和</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文件的规定，对响应文件中的资格证明等进行审查，以确定供应商是否具备</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资格。资格性审查资料表如下：</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47"/>
        <w:gridCol w:w="1724"/>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50" w:type="dxa"/>
            <w:vAlign w:val="center"/>
          </w:tcPr>
          <w:p>
            <w:pPr>
              <w:keepNext w:val="0"/>
              <w:keepLines w:val="0"/>
              <w:suppressLineNumbers w:val="0"/>
              <w:spacing w:before="0" w:beforeAutospacing="0" w:after="0" w:afterAutospacing="0"/>
              <w:ind w:left="0" w:right="0"/>
              <w:jc w:val="center"/>
              <w:rPr>
                <w:rFonts w:hint="default" w:eastAsia="仿宋"/>
                <w:b/>
                <w:bCs/>
                <w:color w:val="auto"/>
                <w:kern w:val="0"/>
                <w:sz w:val="21"/>
                <w:szCs w:val="21"/>
                <w:highlight w:val="none"/>
              </w:rPr>
            </w:pPr>
            <w:r>
              <w:rPr>
                <w:rFonts w:hint="eastAsia" w:eastAsia="仿宋"/>
                <w:b/>
                <w:bCs/>
                <w:color w:val="auto"/>
                <w:kern w:val="0"/>
                <w:sz w:val="21"/>
                <w:szCs w:val="21"/>
                <w:highlight w:val="none"/>
              </w:rPr>
              <w:t>序号</w:t>
            </w:r>
          </w:p>
        </w:tc>
        <w:tc>
          <w:tcPr>
            <w:tcW w:w="3271" w:type="dxa"/>
            <w:gridSpan w:val="2"/>
            <w:vAlign w:val="center"/>
          </w:tcPr>
          <w:p>
            <w:pPr>
              <w:keepNext w:val="0"/>
              <w:keepLines w:val="0"/>
              <w:suppressLineNumbers w:val="0"/>
              <w:spacing w:before="0" w:beforeAutospacing="0" w:after="0" w:afterAutospacing="0"/>
              <w:ind w:left="0" w:right="0"/>
              <w:jc w:val="center"/>
              <w:rPr>
                <w:rFonts w:hint="default" w:eastAsia="仿宋"/>
                <w:b/>
                <w:bCs/>
                <w:color w:val="auto"/>
                <w:kern w:val="0"/>
                <w:sz w:val="21"/>
                <w:szCs w:val="21"/>
                <w:highlight w:val="none"/>
              </w:rPr>
            </w:pPr>
            <w:r>
              <w:rPr>
                <w:rFonts w:hint="eastAsia" w:eastAsia="仿宋"/>
                <w:b/>
                <w:bCs/>
                <w:color w:val="auto"/>
                <w:kern w:val="0"/>
                <w:sz w:val="21"/>
                <w:szCs w:val="21"/>
                <w:highlight w:val="none"/>
              </w:rPr>
              <w:t>检查因素</w:t>
            </w:r>
          </w:p>
        </w:tc>
        <w:tc>
          <w:tcPr>
            <w:tcW w:w="5211" w:type="dxa"/>
            <w:vAlign w:val="center"/>
          </w:tcPr>
          <w:p>
            <w:pPr>
              <w:keepNext w:val="0"/>
              <w:keepLines w:val="0"/>
              <w:suppressLineNumbers w:val="0"/>
              <w:spacing w:before="0" w:beforeAutospacing="0" w:after="0" w:afterAutospacing="0"/>
              <w:ind w:left="0" w:right="0"/>
              <w:jc w:val="center"/>
              <w:rPr>
                <w:rFonts w:hint="default" w:eastAsia="仿宋"/>
                <w:b/>
                <w:bCs/>
                <w:color w:val="auto"/>
                <w:kern w:val="0"/>
                <w:sz w:val="21"/>
                <w:szCs w:val="21"/>
                <w:highlight w:val="none"/>
              </w:rPr>
            </w:pPr>
            <w:r>
              <w:rPr>
                <w:rFonts w:hint="eastAsia" w:eastAsia="仿宋"/>
                <w:b/>
                <w:bCs/>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750"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（一）</w:t>
            </w:r>
          </w:p>
        </w:tc>
        <w:tc>
          <w:tcPr>
            <w:tcW w:w="1547"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《中华人民共和国政府采购法》第二十二条规定</w:t>
            </w: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1.具有独立承担民事责任的能力</w:t>
            </w:r>
          </w:p>
        </w:tc>
        <w:tc>
          <w:tcPr>
            <w:tcW w:w="5211"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1.供应商法人营业执照（副本）或事业单位法人证书（副本）或个体工商户营业执照或有效的自然人身份证明或社会团体法人登记证书（提供复印件）；</w:t>
            </w:r>
          </w:p>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供应商法定代表人身份证明书和法定代表人授权代表委托书。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9"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2.具有良好的商业信誉和健全的财务会计制度</w:t>
            </w:r>
          </w:p>
        </w:tc>
        <w:tc>
          <w:tcPr>
            <w:tcW w:w="5211" w:type="dxa"/>
            <w:vMerge w:val="restart"/>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2-5项供应商提供“基本资格条件承诺函”（格式见</w:t>
            </w:r>
            <w:r>
              <w:rPr>
                <w:rFonts w:hint="eastAsia" w:eastAsia="仿宋"/>
                <w:color w:val="auto"/>
                <w:kern w:val="0"/>
                <w:sz w:val="21"/>
                <w:szCs w:val="21"/>
                <w:highlight w:val="none"/>
                <w:lang w:eastAsia="zh-CN"/>
              </w:rPr>
              <w:t>后</w:t>
            </w:r>
            <w:r>
              <w:rPr>
                <w:rFonts w:hint="eastAsia" w:eastAsia="仿宋"/>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3.具有履行合同所必需的设备和专业技术能力</w:t>
            </w:r>
          </w:p>
        </w:tc>
        <w:tc>
          <w:tcPr>
            <w:tcW w:w="5211"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4.有依法缴纳税收和社会保障金的良好记录</w:t>
            </w:r>
          </w:p>
        </w:tc>
        <w:tc>
          <w:tcPr>
            <w:tcW w:w="5211"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5.参加政府采购活动前三年内，在经营活动中没有重大违法记录</w:t>
            </w:r>
          </w:p>
        </w:tc>
        <w:tc>
          <w:tcPr>
            <w:tcW w:w="5211"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6.法律、行政法规规定的其他条件</w:t>
            </w:r>
          </w:p>
        </w:tc>
        <w:tc>
          <w:tcPr>
            <w:tcW w:w="5211"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7.特定资格条件</w:t>
            </w:r>
          </w:p>
        </w:tc>
        <w:tc>
          <w:tcPr>
            <w:tcW w:w="5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营业执照经营范围必须包含餐饮管理或餐饮服务</w:t>
            </w:r>
            <w:r>
              <w:rPr>
                <w:rFonts w:hint="eastAsia" w:ascii="仿宋" w:hAnsi="仿宋" w:eastAsia="仿宋" w:cs="仿宋"/>
                <w:color w:val="auto"/>
                <w:szCs w:val="20"/>
                <w:highlight w:val="none"/>
                <w:lang w:val="en-US" w:eastAsia="zh-CN"/>
              </w:rPr>
              <w:t>、日用百货销售（含类似）。</w:t>
            </w:r>
            <w:r>
              <w:rPr>
                <w:rFonts w:hint="eastAsia" w:ascii="仿宋" w:hAnsi="仿宋" w:eastAsia="仿宋" w:cs="仿宋"/>
                <w:color w:val="auto"/>
                <w:szCs w:val="20"/>
                <w:highlight w:val="none"/>
              </w:rPr>
              <w:t>(提供营业照复印件)；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eastAsia"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 xml:space="preserve">2.具备餐饮服务许可证或食品经营许可证（提供复印件）；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eastAsia"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3.近三年在经营活动中没有违法记录且未发生过食品安全事故（提供承诺书，加盖参比人公章）。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8" w:firstLineChars="200"/>
              <w:textAlignment w:val="auto"/>
              <w:rPr>
                <w:rFonts w:hint="eastAsia"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4.参比人与应提供的各种证件中的法人代表为同一人。</w:t>
            </w:r>
          </w:p>
          <w:p>
            <w:pPr>
              <w:keepNext w:val="0"/>
              <w:keepLines w:val="0"/>
              <w:suppressLineNumbers w:val="0"/>
              <w:snapToGrid w:val="0"/>
              <w:spacing w:before="0" w:beforeAutospacing="0" w:after="0" w:afterAutospacing="0" w:line="520" w:lineRule="exact"/>
              <w:ind w:left="0" w:right="0" w:firstLine="438" w:firstLineChars="200"/>
              <w:rPr>
                <w:rFonts w:hint="eastAsia" w:eastAsia="仿宋"/>
                <w:color w:val="auto"/>
                <w:kern w:val="0"/>
                <w:sz w:val="21"/>
                <w:szCs w:val="21"/>
                <w:highlight w:val="none"/>
                <w:lang w:val="en-US" w:eastAsia="zh-CN"/>
              </w:rPr>
            </w:pPr>
            <w:r>
              <w:rPr>
                <w:rFonts w:hint="eastAsia" w:ascii="仿宋" w:hAnsi="仿宋" w:eastAsia="仿宋" w:cs="仿宋"/>
                <w:color w:val="auto"/>
                <w:szCs w:val="20"/>
                <w:highlight w:val="none"/>
                <w:lang w:val="en-US" w:eastAsia="zh-CN"/>
              </w:rPr>
              <w:t>5.为便于管理，本院职工及职工父母、配偶、子女、兄弟姐妹不得参与竞标。</w:t>
            </w:r>
          </w:p>
        </w:tc>
      </w:tr>
    </w:tbl>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说明：以上资格检查证明材料，该年审的应当年审合格，设有效期的应当在有效期内，提供原件的应当有效。提供复印件的应当清晰可见并加盖供应商公章，评审现场能够提供原件以备查验。</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①供应商按“多证合一”登记制度办理营业执照的，组织机构代码证、税务登记证（副本）和社会保险登记证以供应商所提供的营业执照（副本）复印件为准。</w:t>
      </w:r>
    </w:p>
    <w:p>
      <w:pPr>
        <w:snapToGrid w:val="0"/>
        <w:spacing w:line="520" w:lineRule="exact"/>
        <w:ind w:firstLine="438" w:firstLineChars="200"/>
        <w:rPr>
          <w:rFonts w:ascii="方正仿宋_GBK" w:hAnsi="宋体" w:cs="宋体"/>
          <w:color w:val="auto"/>
          <w:kern w:val="0"/>
          <w:szCs w:val="24"/>
          <w:highlight w:val="none"/>
        </w:rPr>
      </w:pPr>
      <w:r>
        <w:rPr>
          <w:rFonts w:hint="eastAsia" w:ascii="方正仿宋_GBK" w:hAnsi="仿宋" w:eastAsia="仿宋" w:cs="仿宋"/>
          <w:color w:val="auto"/>
          <w:kern w:val="0"/>
          <w:szCs w:val="28"/>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2.符合性审查。依据</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文件的规定，从响应文件的有效性、完整性和对</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文件的响应程度进行审查，以确定是否对</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文件的实质性要求作出响应。符合性审查资料表如下：</w:t>
      </w:r>
    </w:p>
    <w:tbl>
      <w:tblPr>
        <w:tblStyle w:val="2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722"/>
        <w:gridCol w:w="1723"/>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4" w:type="dxa"/>
            <w:vAlign w:val="center"/>
          </w:tcPr>
          <w:p>
            <w:pPr>
              <w:keepNext w:val="0"/>
              <w:keepLines w:val="0"/>
              <w:suppressLineNumbers w:val="0"/>
              <w:spacing w:before="0" w:beforeAutospacing="0" w:after="0" w:afterAutospacing="0"/>
              <w:ind w:left="0" w:right="0"/>
              <w:jc w:val="center"/>
              <w:rPr>
                <w:rFonts w:hint="default" w:eastAsia="仿宋"/>
                <w:b/>
                <w:color w:val="auto"/>
                <w:kern w:val="0"/>
                <w:sz w:val="21"/>
                <w:szCs w:val="21"/>
                <w:highlight w:val="none"/>
              </w:rPr>
            </w:pPr>
            <w:r>
              <w:rPr>
                <w:rFonts w:hint="eastAsia" w:eastAsia="仿宋"/>
                <w:b/>
                <w:color w:val="auto"/>
                <w:kern w:val="0"/>
                <w:sz w:val="21"/>
                <w:szCs w:val="21"/>
                <w:highlight w:val="none"/>
              </w:rPr>
              <w:t>序号</w:t>
            </w:r>
          </w:p>
        </w:tc>
        <w:tc>
          <w:tcPr>
            <w:tcW w:w="3445" w:type="dxa"/>
            <w:gridSpan w:val="2"/>
            <w:vAlign w:val="center"/>
          </w:tcPr>
          <w:p>
            <w:pPr>
              <w:keepNext w:val="0"/>
              <w:keepLines w:val="0"/>
              <w:suppressLineNumbers w:val="0"/>
              <w:spacing w:before="0" w:beforeAutospacing="0" w:after="0" w:afterAutospacing="0"/>
              <w:ind w:left="0" w:right="0"/>
              <w:jc w:val="center"/>
              <w:rPr>
                <w:rFonts w:hint="default" w:eastAsia="仿宋"/>
                <w:b/>
                <w:color w:val="auto"/>
                <w:kern w:val="0"/>
                <w:sz w:val="21"/>
                <w:szCs w:val="21"/>
                <w:highlight w:val="none"/>
              </w:rPr>
            </w:pPr>
            <w:r>
              <w:rPr>
                <w:rFonts w:hint="eastAsia" w:eastAsia="仿宋"/>
                <w:b/>
                <w:color w:val="auto"/>
                <w:kern w:val="0"/>
                <w:sz w:val="21"/>
                <w:szCs w:val="21"/>
                <w:highlight w:val="none"/>
              </w:rPr>
              <w:t>评审因素</w:t>
            </w:r>
          </w:p>
        </w:tc>
        <w:tc>
          <w:tcPr>
            <w:tcW w:w="5058" w:type="dxa"/>
            <w:vAlign w:val="center"/>
          </w:tcPr>
          <w:p>
            <w:pPr>
              <w:keepNext w:val="0"/>
              <w:keepLines w:val="0"/>
              <w:suppressLineNumbers w:val="0"/>
              <w:spacing w:before="0" w:beforeAutospacing="0" w:after="0" w:afterAutospacing="0"/>
              <w:ind w:left="0" w:right="0"/>
              <w:jc w:val="center"/>
              <w:rPr>
                <w:rFonts w:hint="default" w:eastAsia="仿宋"/>
                <w:b/>
                <w:color w:val="auto"/>
                <w:kern w:val="0"/>
                <w:sz w:val="21"/>
                <w:szCs w:val="21"/>
                <w:highlight w:val="none"/>
              </w:rPr>
            </w:pPr>
            <w:r>
              <w:rPr>
                <w:rFonts w:hint="eastAsia" w:eastAsia="仿宋"/>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4"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1</w:t>
            </w:r>
          </w:p>
        </w:tc>
        <w:tc>
          <w:tcPr>
            <w:tcW w:w="1722"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有效性审查</w:t>
            </w: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响应文件签署</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74"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响应</w:t>
            </w:r>
            <w:r>
              <w:rPr>
                <w:rFonts w:hint="eastAsia" w:eastAsia="仿宋"/>
                <w:color w:val="auto"/>
                <w:sz w:val="22"/>
                <w:szCs w:val="22"/>
                <w:highlight w:val="none"/>
                <w:lang w:val="zh-CN"/>
              </w:rPr>
              <w:t>方案</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lang w:val="zh-CN"/>
              </w:rPr>
              <w:t>每个分包只能有一个</w:t>
            </w:r>
            <w:r>
              <w:rPr>
                <w:rFonts w:hint="eastAsia" w:eastAsia="仿宋"/>
                <w:color w:val="auto"/>
                <w:sz w:val="22"/>
                <w:szCs w:val="22"/>
                <w:highlight w:val="none"/>
              </w:rPr>
              <w:t>响应</w:t>
            </w:r>
            <w:r>
              <w:rPr>
                <w:rFonts w:hint="eastAsia" w:eastAsia="仿宋"/>
                <w:color w:val="auto"/>
                <w:sz w:val="22"/>
                <w:szCs w:val="22"/>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4"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2</w:t>
            </w:r>
          </w:p>
        </w:tc>
        <w:tc>
          <w:tcPr>
            <w:tcW w:w="1722"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完整性审查</w:t>
            </w: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w:t>
            </w:r>
            <w:r>
              <w:rPr>
                <w:rFonts w:hint="eastAsia" w:eastAsia="仿宋"/>
                <w:color w:val="auto"/>
                <w:sz w:val="22"/>
                <w:szCs w:val="22"/>
                <w:highlight w:val="none"/>
                <w:lang w:val="zh-CN"/>
              </w:rPr>
              <w:t>文件份数</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w:t>
            </w:r>
            <w:r>
              <w:rPr>
                <w:rFonts w:hint="eastAsia" w:eastAsia="仿宋"/>
                <w:color w:val="auto"/>
                <w:sz w:val="22"/>
                <w:szCs w:val="22"/>
                <w:highlight w:val="none"/>
                <w:lang w:val="zh-CN"/>
              </w:rPr>
              <w:t>文件正、副本数量符合</w:t>
            </w:r>
            <w:r>
              <w:rPr>
                <w:rFonts w:hint="eastAsia" w:eastAsia="仿宋"/>
                <w:color w:val="auto"/>
                <w:sz w:val="22"/>
                <w:szCs w:val="22"/>
                <w:highlight w:val="none"/>
                <w:lang w:eastAsia="zh-CN"/>
              </w:rPr>
              <w:t>比选</w:t>
            </w:r>
            <w:r>
              <w:rPr>
                <w:rFonts w:hint="eastAsia" w:eastAsia="仿宋"/>
                <w:color w:val="auto"/>
                <w:sz w:val="22"/>
                <w:szCs w:val="22"/>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74"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响应</w:t>
            </w:r>
            <w:r>
              <w:rPr>
                <w:rFonts w:hint="eastAsia" w:eastAsia="仿宋"/>
                <w:color w:val="auto"/>
                <w:sz w:val="22"/>
                <w:szCs w:val="22"/>
                <w:highlight w:val="none"/>
                <w:lang w:val="zh-CN"/>
              </w:rPr>
              <w:t>文件内容</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响应</w:t>
            </w:r>
            <w:r>
              <w:rPr>
                <w:rFonts w:hint="eastAsia" w:eastAsia="仿宋"/>
                <w:color w:val="auto"/>
                <w:sz w:val="22"/>
                <w:szCs w:val="22"/>
                <w:highlight w:val="none"/>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4"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3</w:t>
            </w:r>
          </w:p>
        </w:tc>
        <w:tc>
          <w:tcPr>
            <w:tcW w:w="1722"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sz w:val="21"/>
                <w:szCs w:val="21"/>
                <w:highlight w:val="none"/>
                <w:lang w:val="zh-CN"/>
              </w:rPr>
            </w:pPr>
            <w:r>
              <w:rPr>
                <w:rFonts w:hint="eastAsia" w:eastAsia="仿宋"/>
                <w:color w:val="auto"/>
                <w:kern w:val="0"/>
                <w:sz w:val="21"/>
                <w:szCs w:val="21"/>
                <w:highlight w:val="none"/>
                <w:lang w:eastAsia="zh-CN"/>
              </w:rPr>
              <w:t>比选</w:t>
            </w:r>
            <w:r>
              <w:rPr>
                <w:rFonts w:hint="eastAsia" w:eastAsia="仿宋"/>
                <w:color w:val="auto"/>
                <w:kern w:val="0"/>
                <w:sz w:val="21"/>
                <w:szCs w:val="21"/>
                <w:highlight w:val="none"/>
              </w:rPr>
              <w:t>文件的响应程度审查</w:t>
            </w: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kern w:val="0"/>
                <w:sz w:val="22"/>
                <w:szCs w:val="22"/>
                <w:highlight w:val="none"/>
              </w:rPr>
              <w:t>响应文件内容</w:t>
            </w:r>
          </w:p>
        </w:tc>
        <w:tc>
          <w:tcPr>
            <w:tcW w:w="5058" w:type="dxa"/>
            <w:vAlign w:val="center"/>
          </w:tcPr>
          <w:p>
            <w:pPr>
              <w:pStyle w:val="12"/>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default"/>
                <w:color w:val="auto"/>
                <w:sz w:val="21"/>
                <w:szCs w:val="21"/>
                <w:highlight w:val="none"/>
              </w:rPr>
              <w:t>对</w:t>
            </w:r>
            <w:r>
              <w:rPr>
                <w:rFonts w:hint="eastAsia"/>
                <w:color w:val="auto"/>
                <w:sz w:val="21"/>
                <w:szCs w:val="21"/>
                <w:highlight w:val="none"/>
                <w:lang w:eastAsia="zh-CN"/>
              </w:rPr>
              <w:t>比选</w:t>
            </w:r>
            <w:r>
              <w:rPr>
                <w:rFonts w:hint="default"/>
                <w:color w:val="auto"/>
                <w:sz w:val="21"/>
                <w:szCs w:val="21"/>
                <w:highlight w:val="none"/>
              </w:rPr>
              <w:t>文件第二、三篇规定的</w:t>
            </w:r>
            <w:r>
              <w:rPr>
                <w:rFonts w:hint="eastAsia"/>
                <w:color w:val="auto"/>
                <w:sz w:val="21"/>
                <w:szCs w:val="21"/>
                <w:highlight w:val="none"/>
                <w:lang w:eastAsia="zh-CN"/>
              </w:rPr>
              <w:t>比选</w:t>
            </w:r>
            <w:r>
              <w:rPr>
                <w:rFonts w:hint="default"/>
                <w:color w:val="auto"/>
                <w:sz w:val="21"/>
                <w:szCs w:val="21"/>
                <w:highlight w:val="none"/>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4"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sz w:val="21"/>
                <w:szCs w:val="21"/>
                <w:highlight w:val="none"/>
                <w:lang w:val="zh-CN"/>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kern w:val="0"/>
                <w:sz w:val="22"/>
                <w:szCs w:val="22"/>
                <w:highlight w:val="none"/>
                <w:lang w:eastAsia="zh-CN"/>
              </w:rPr>
              <w:t>比选</w:t>
            </w:r>
            <w:r>
              <w:rPr>
                <w:rFonts w:hint="eastAsia" w:eastAsia="仿宋"/>
                <w:color w:val="auto"/>
                <w:kern w:val="0"/>
                <w:sz w:val="22"/>
                <w:szCs w:val="22"/>
                <w:highlight w:val="none"/>
              </w:rPr>
              <w:t>有效期</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kern w:val="0"/>
                <w:sz w:val="22"/>
                <w:szCs w:val="22"/>
                <w:highlight w:val="none"/>
              </w:rPr>
              <w:t>响应文件及有关承诺文件有效期为提交响应文件截止时间起90天</w:t>
            </w:r>
          </w:p>
        </w:tc>
      </w:tr>
    </w:tbl>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（三）澄清有关问题。</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（五）在</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过程中</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的任何一方不得向他人透露与</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有关的服务资料、价格或其他信息。</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（六）在</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过程中，</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小组可以根据</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文件和</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情况实质性变动采购需求中的服务、商务要求以及合同草案条款，但不得变动</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文件中的其他内容。实质性变动的内容，须经采购人代表确认。对</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文件作出的实质性变动是</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文件的有效组成部分，</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小组应当及时以书面形式同时通知所有参加</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的供应商。</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（七）供应商在</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时作出的所有书面承诺须由法定代表人（或其授权代表）或自然人（供应商为自然人）签署。</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八</w:t>
      </w: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小组采用综合评分法对供应商的响应文件（含有效书面承诺）进行综合评分。综合评分法，是指响应文件满足</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文件全部实质性要求且按照评审因素的量化指标评审得分最高的供应商为成交候选供应商的评审方法。供应商总得分为服务、商务等评定因素分别按照相应权重值计算分项得分后相加，满分为100分。</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九</w:t>
      </w: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小组各成员独立对每个有效供应商（通过资格审查、符合性审查的供应商）的响应文件进行评价、打分，然后汇总每个供应商每项评分因素的得分。由</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小组对各成员打分情况进行核查及复核，个别成员对同一供应商同一评分项的打分偏离较大的，应对供应商的响应文件进行再次核对，确属打分有误的，应及时进行修正。</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复核后，</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小组汇总每个供应商每项评分因素的得分。</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仿宋" w:hAnsi="仿宋"/>
          <w:color w:val="auto"/>
          <w:szCs w:val="24"/>
          <w:highlight w:val="none"/>
        </w:rPr>
        <w:t>评审结果汇总完成后，</w:t>
      </w:r>
      <w:r>
        <w:rPr>
          <w:rFonts w:hint="eastAsia" w:ascii="方正仿宋_GBK" w:hAnsi="仿宋" w:eastAsia="仿宋" w:cs="仿宋"/>
          <w:color w:val="auto"/>
          <w:kern w:val="0"/>
          <w:szCs w:val="28"/>
          <w:highlight w:val="none"/>
        </w:rPr>
        <w:t>除资格性检查认定错误、分值汇总计算错误、分项评分超出评分标准范围、客观分评分不一致、经</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小组一致认定评分畸高、畸低的情形外，采购人或者采购代理机构不得以任何理由组织重新评审。</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采购人或代理机构应当核对、校对评审数据，出现上款规定情形的，提示</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小组复核或者书面说明理由，</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小组拒绝的，应予以记录并向本级财政部门报告。</w:t>
      </w:r>
    </w:p>
    <w:p>
      <w:pPr>
        <w:spacing w:line="520" w:lineRule="exact"/>
        <w:ind w:firstLine="438" w:firstLineChars="200"/>
        <w:jc w:val="left"/>
        <w:rPr>
          <w:rFonts w:ascii="方正黑体_GBK" w:hAnsi="宋体" w:eastAsia="方正黑体_GBK" w:cs="宋体"/>
          <w:color w:val="auto"/>
          <w:sz w:val="28"/>
          <w:szCs w:val="28"/>
          <w:highlight w:val="none"/>
        </w:rPr>
      </w:pPr>
      <w:r>
        <w:rPr>
          <w:rFonts w:hint="eastAsia" w:ascii="方正仿宋_GBK" w:hAnsi="仿宋" w:eastAsia="仿宋" w:cs="仿宋"/>
          <w:color w:val="auto"/>
          <w:kern w:val="0"/>
          <w:szCs w:val="28"/>
          <w:highlight w:val="none"/>
        </w:rPr>
        <w:t>（十）</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小组根据综合评分情况按照评审得分由高到低顺序推荐3名以上成交候选供应商，并编写评审报告。</w:t>
      </w:r>
    </w:p>
    <w:p>
      <w:pPr>
        <w:spacing w:before="156" w:after="156" w:line="520" w:lineRule="exact"/>
        <w:ind w:firstLine="438" w:firstLineChars="200"/>
        <w:jc w:val="left"/>
        <w:outlineLvl w:val="1"/>
        <w:rPr>
          <w:rFonts w:hint="eastAsia" w:ascii="Times New Roman" w:hAnsi="Times New Roman" w:eastAsia="仿宋" w:cs="宋体"/>
          <w:b/>
          <w:bCs/>
          <w:color w:val="auto"/>
          <w:szCs w:val="28"/>
          <w:highlight w:val="none"/>
        </w:rPr>
      </w:pPr>
      <w:bookmarkStart w:id="394" w:name="_Toc9744"/>
      <w:bookmarkStart w:id="395" w:name="_Toc31234"/>
      <w:bookmarkStart w:id="396" w:name="_Toc48837317"/>
      <w:bookmarkStart w:id="397" w:name="_Toc4709"/>
      <w:bookmarkStart w:id="398" w:name="_Toc15483"/>
      <w:bookmarkStart w:id="399" w:name="_Toc32094"/>
      <w:bookmarkStart w:id="400" w:name="_Toc31146"/>
      <w:bookmarkStart w:id="401" w:name="_Toc8521"/>
      <w:bookmarkStart w:id="402" w:name="_Toc29339"/>
      <w:bookmarkStart w:id="403" w:name="_Toc25800"/>
      <w:bookmarkStart w:id="404" w:name="_Toc861"/>
      <w:bookmarkStart w:id="405" w:name="_Toc32741"/>
      <w:bookmarkStart w:id="406" w:name="_Toc8366"/>
      <w:bookmarkStart w:id="407" w:name="_Toc28674"/>
      <w:bookmarkStart w:id="408" w:name="_Toc6010"/>
      <w:bookmarkStart w:id="409" w:name="_Toc20066"/>
      <w:bookmarkStart w:id="410" w:name="_Toc9513"/>
      <w:bookmarkStart w:id="411" w:name="_Toc5149"/>
      <w:bookmarkStart w:id="412" w:name="_Toc20991"/>
      <w:bookmarkStart w:id="413" w:name="_Toc32625"/>
      <w:bookmarkStart w:id="414" w:name="_Toc3255"/>
      <w:bookmarkStart w:id="415" w:name="_Toc13978"/>
      <w:bookmarkStart w:id="416" w:name="_Toc5083"/>
      <w:bookmarkStart w:id="417" w:name="_Toc14750"/>
      <w:bookmarkStart w:id="418" w:name="_Toc981"/>
      <w:bookmarkStart w:id="419" w:name="_Toc7410"/>
      <w:r>
        <w:rPr>
          <w:rFonts w:hint="eastAsia" w:ascii="Times New Roman" w:hAnsi="Times New Roman" w:eastAsia="仿宋" w:cs="宋体"/>
          <w:b/>
          <w:bCs/>
          <w:color w:val="auto"/>
          <w:szCs w:val="28"/>
          <w:highlight w:val="none"/>
          <w:lang w:eastAsia="zh-CN"/>
        </w:rPr>
        <w:t>二、</w:t>
      </w:r>
      <w:r>
        <w:rPr>
          <w:rFonts w:hint="eastAsia" w:ascii="Times New Roman" w:hAnsi="Times New Roman" w:eastAsia="仿宋" w:cs="宋体"/>
          <w:b/>
          <w:bCs/>
          <w:color w:val="auto"/>
          <w:szCs w:val="28"/>
          <w:highlight w:val="none"/>
        </w:rPr>
        <w:t>评审标准</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bl>
      <w:tblPr>
        <w:tblStyle w:val="25"/>
        <w:tblpPr w:leftFromText="180" w:rightFromText="180" w:vertAnchor="text" w:horzAnchor="page" w:tblpX="1405" w:tblpY="518"/>
        <w:tblOverlap w:val="never"/>
        <w:tblW w:w="9690" w:type="dxa"/>
        <w:tblInd w:w="0" w:type="dxa"/>
        <w:tblLayout w:type="fixed"/>
        <w:tblCellMar>
          <w:top w:w="0" w:type="dxa"/>
          <w:left w:w="108" w:type="dxa"/>
          <w:bottom w:w="0" w:type="dxa"/>
          <w:right w:w="108" w:type="dxa"/>
        </w:tblCellMar>
      </w:tblPr>
      <w:tblGrid>
        <w:gridCol w:w="900"/>
        <w:gridCol w:w="1"/>
        <w:gridCol w:w="899"/>
        <w:gridCol w:w="6330"/>
        <w:gridCol w:w="709"/>
        <w:gridCol w:w="851"/>
      </w:tblGrid>
      <w:tr>
        <w:tblPrEx>
          <w:tblCellMar>
            <w:top w:w="0" w:type="dxa"/>
            <w:left w:w="108" w:type="dxa"/>
            <w:bottom w:w="0" w:type="dxa"/>
            <w:right w:w="108" w:type="dxa"/>
          </w:tblCellMar>
        </w:tblPrEx>
        <w:trPr>
          <w:trHeight w:val="746" w:hRule="atLeast"/>
        </w:trPr>
        <w:tc>
          <w:tcPr>
            <w:tcW w:w="18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rPr>
            </w:pPr>
            <w:bookmarkStart w:id="420" w:name="_Toc521"/>
            <w:bookmarkStart w:id="421" w:name="_Toc8076"/>
            <w:bookmarkStart w:id="422" w:name="_Toc22532"/>
            <w:bookmarkStart w:id="423" w:name="_Toc32107"/>
            <w:bookmarkStart w:id="424" w:name="_Toc2090"/>
            <w:bookmarkStart w:id="425" w:name="_Toc27554"/>
            <w:bookmarkStart w:id="426" w:name="_Toc3598"/>
            <w:bookmarkStart w:id="427" w:name="_Toc14187"/>
            <w:bookmarkStart w:id="428" w:name="_Toc65512153"/>
            <w:bookmarkStart w:id="429" w:name="_Toc48837318"/>
            <w:bookmarkStart w:id="430" w:name="_Toc2463"/>
            <w:bookmarkStart w:id="431" w:name="_Toc13857"/>
            <w:bookmarkStart w:id="432" w:name="_Toc19280"/>
            <w:bookmarkStart w:id="433" w:name="_Toc12698"/>
            <w:bookmarkStart w:id="434" w:name="_Toc5155"/>
            <w:bookmarkStart w:id="435" w:name="_Toc23685"/>
            <w:bookmarkStart w:id="436" w:name="_Toc16350"/>
            <w:bookmarkStart w:id="437" w:name="_Toc16220"/>
            <w:bookmarkStart w:id="438" w:name="_Toc30220"/>
            <w:bookmarkStart w:id="439" w:name="_Toc17257"/>
            <w:bookmarkStart w:id="440" w:name="_Toc32306"/>
            <w:bookmarkStart w:id="441" w:name="_Toc731"/>
            <w:bookmarkStart w:id="442" w:name="_Toc20884"/>
            <w:bookmarkStart w:id="443" w:name="_Toc16045"/>
            <w:bookmarkStart w:id="444" w:name="_Toc32421"/>
            <w:bookmarkStart w:id="445" w:name="_Toc2703"/>
            <w:bookmarkStart w:id="446" w:name="_Toc26383"/>
            <w:bookmarkStart w:id="447" w:name="_Toc3301"/>
            <w:bookmarkStart w:id="448" w:name="_Toc394390666"/>
            <w:r>
              <w:rPr>
                <w:rFonts w:hint="default" w:ascii="方正仿宋_GBK" w:hAnsi="仿宋" w:eastAsia="仿宋" w:cs="仿宋"/>
                <w:color w:val="auto"/>
                <w:kern w:val="0"/>
                <w:szCs w:val="28"/>
                <w:highlight w:val="none"/>
              </w:rPr>
              <w:t>评分因素及权重</w:t>
            </w:r>
          </w:p>
        </w:tc>
        <w:tc>
          <w:tcPr>
            <w:tcW w:w="6330" w:type="dxa"/>
            <w:tcBorders>
              <w:top w:val="single" w:color="auto"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r>
              <w:rPr>
                <w:rFonts w:hint="default" w:ascii="方正仿宋_GBK" w:hAnsi="仿宋" w:eastAsia="仿宋" w:cs="仿宋"/>
                <w:color w:val="auto"/>
                <w:kern w:val="0"/>
                <w:szCs w:val="28"/>
                <w:highlight w:val="none"/>
              </w:rPr>
              <w:t>评分标准</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rPr>
            </w:pPr>
            <w:r>
              <w:rPr>
                <w:rFonts w:hint="default" w:ascii="方正仿宋_GBK" w:hAnsi="仿宋" w:eastAsia="仿宋" w:cs="仿宋"/>
                <w:color w:val="auto"/>
                <w:kern w:val="0"/>
                <w:szCs w:val="28"/>
                <w:highlight w:val="none"/>
              </w:rPr>
              <w:t>分值</w:t>
            </w: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rPr>
            </w:pPr>
            <w:r>
              <w:rPr>
                <w:rFonts w:hint="default" w:ascii="方正仿宋_GBK" w:hAnsi="仿宋" w:eastAsia="仿宋" w:cs="仿宋"/>
                <w:color w:val="auto"/>
                <w:kern w:val="0"/>
                <w:szCs w:val="28"/>
                <w:highlight w:val="none"/>
              </w:rPr>
              <w:t>得分</w:t>
            </w:r>
          </w:p>
        </w:tc>
      </w:tr>
      <w:tr>
        <w:tblPrEx>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both"/>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一、</w:t>
            </w:r>
            <w:r>
              <w:rPr>
                <w:rFonts w:hint="default" w:ascii="方正仿宋_GBK" w:hAnsi="仿宋" w:eastAsia="仿宋" w:cs="仿宋"/>
                <w:color w:val="auto"/>
                <w:kern w:val="0"/>
                <w:szCs w:val="28"/>
                <w:highlight w:val="none"/>
                <w:lang w:eastAsia="zh-CN"/>
              </w:rPr>
              <w:t>经济部分</w:t>
            </w:r>
            <w:r>
              <w:rPr>
                <w:rFonts w:hint="default" w:ascii="方正仿宋_GBK" w:hAnsi="仿宋" w:eastAsia="仿宋" w:cs="仿宋"/>
                <w:color w:val="auto"/>
                <w:kern w:val="0"/>
                <w:szCs w:val="28"/>
                <w:highlight w:val="none"/>
                <w:lang w:val="en-US" w:eastAsia="zh-CN"/>
              </w:rPr>
              <w:t>（1</w:t>
            </w:r>
            <w:r>
              <w:rPr>
                <w:rFonts w:hint="eastAsia" w:ascii="方正仿宋_GBK" w:hAnsi="仿宋" w:eastAsia="仿宋" w:cs="仿宋"/>
                <w:color w:val="auto"/>
                <w:kern w:val="0"/>
                <w:szCs w:val="28"/>
                <w:highlight w:val="none"/>
                <w:lang w:val="en-US" w:eastAsia="zh-CN"/>
              </w:rPr>
              <w:t>5</w:t>
            </w:r>
            <w:r>
              <w:rPr>
                <w:rFonts w:hint="default" w:ascii="方正仿宋_GBK" w:hAnsi="仿宋" w:eastAsia="仿宋" w:cs="仿宋"/>
                <w:color w:val="auto"/>
                <w:kern w:val="0"/>
                <w:szCs w:val="28"/>
                <w:highlight w:val="none"/>
                <w:lang w:val="en-US" w:eastAsia="zh-CN"/>
              </w:rPr>
              <w:t>分）</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both"/>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eastAsia="zh-CN"/>
              </w:rPr>
              <w:t>投标报价</w:t>
            </w:r>
            <w:r>
              <w:rPr>
                <w:rFonts w:hint="default" w:ascii="方正仿宋_GBK" w:hAnsi="仿宋" w:eastAsia="仿宋" w:cs="仿宋"/>
                <w:color w:val="auto"/>
                <w:kern w:val="0"/>
                <w:szCs w:val="28"/>
                <w:highlight w:val="none"/>
                <w:lang w:val="en-US" w:eastAsia="zh-CN"/>
              </w:rPr>
              <w:t>（</w:t>
            </w:r>
            <w:r>
              <w:rPr>
                <w:rFonts w:hint="eastAsia" w:ascii="方正仿宋_GBK" w:hAnsi="仿宋" w:eastAsia="仿宋" w:cs="仿宋"/>
                <w:color w:val="auto"/>
                <w:kern w:val="0"/>
                <w:szCs w:val="28"/>
                <w:highlight w:val="none"/>
                <w:lang w:val="en-US" w:eastAsia="zh-CN"/>
              </w:rPr>
              <w:t>15</w:t>
            </w:r>
            <w:r>
              <w:rPr>
                <w:rFonts w:hint="default" w:ascii="方正仿宋_GBK" w:hAnsi="仿宋" w:eastAsia="仿宋" w:cs="仿宋"/>
                <w:color w:val="auto"/>
                <w:kern w:val="0"/>
                <w:szCs w:val="28"/>
                <w:highlight w:val="none"/>
                <w:lang w:val="en-US" w:eastAsia="zh-CN"/>
              </w:rPr>
              <w:t>分）</w:t>
            </w:r>
          </w:p>
        </w:tc>
        <w:tc>
          <w:tcPr>
            <w:tcW w:w="6330" w:type="dxa"/>
            <w:tcBorders>
              <w:top w:val="single" w:color="auto"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eastAsia" w:ascii="方正仿宋_GBK" w:hAnsi="仿宋" w:eastAsia="仿宋" w:cs="仿宋"/>
                <w:color w:val="auto"/>
                <w:kern w:val="0"/>
                <w:szCs w:val="28"/>
                <w:highlight w:val="none"/>
                <w:lang w:val="en-US" w:eastAsia="zh-CN"/>
              </w:rPr>
              <w:t>职工早餐以7元为基准，得5分，</w:t>
            </w:r>
            <w:r>
              <w:rPr>
                <w:rFonts w:hint="default" w:ascii="方正仿宋_GBK" w:hAnsi="仿宋" w:eastAsia="仿宋" w:cs="仿宋"/>
                <w:color w:val="auto"/>
                <w:kern w:val="0"/>
                <w:szCs w:val="28"/>
                <w:highlight w:val="none"/>
                <w:lang w:val="en-US" w:eastAsia="zh-CN"/>
              </w:rPr>
              <w:t>每减少一元，加</w:t>
            </w:r>
            <w:r>
              <w:rPr>
                <w:rFonts w:hint="eastAsia" w:ascii="方正仿宋_GBK" w:hAnsi="仿宋" w:eastAsia="仿宋" w:cs="仿宋"/>
                <w:color w:val="auto"/>
                <w:kern w:val="0"/>
                <w:szCs w:val="28"/>
                <w:highlight w:val="none"/>
                <w:lang w:val="en-US" w:eastAsia="zh-CN"/>
              </w:rPr>
              <w:t>1</w:t>
            </w:r>
            <w:r>
              <w:rPr>
                <w:rFonts w:hint="default" w:ascii="方正仿宋_GBK" w:hAnsi="仿宋" w:eastAsia="仿宋" w:cs="仿宋"/>
                <w:color w:val="auto"/>
                <w:kern w:val="0"/>
                <w:szCs w:val="28"/>
                <w:highlight w:val="none"/>
                <w:lang w:val="en-US" w:eastAsia="zh-CN"/>
              </w:rPr>
              <w:t>分</w:t>
            </w:r>
            <w:r>
              <w:rPr>
                <w:rFonts w:hint="eastAsia" w:ascii="方正仿宋_GBK" w:hAnsi="仿宋" w:eastAsia="仿宋" w:cs="仿宋"/>
                <w:color w:val="auto"/>
                <w:kern w:val="0"/>
                <w:szCs w:val="28"/>
                <w:highlight w:val="none"/>
                <w:lang w:val="en-US" w:eastAsia="zh-CN"/>
              </w:rPr>
              <w:t>，最高得7分。职工中餐</w:t>
            </w:r>
            <w:r>
              <w:rPr>
                <w:rFonts w:hint="default" w:ascii="方正仿宋_GBK" w:hAnsi="仿宋" w:eastAsia="仿宋" w:cs="仿宋"/>
                <w:color w:val="auto"/>
                <w:kern w:val="0"/>
                <w:szCs w:val="28"/>
                <w:highlight w:val="none"/>
                <w:lang w:val="en-US" w:eastAsia="zh-CN"/>
              </w:rPr>
              <w:t>以18元为基准，得</w:t>
            </w:r>
            <w:r>
              <w:rPr>
                <w:rFonts w:hint="eastAsia" w:ascii="方正仿宋_GBK" w:hAnsi="仿宋" w:eastAsia="仿宋" w:cs="仿宋"/>
                <w:color w:val="auto"/>
                <w:kern w:val="0"/>
                <w:szCs w:val="28"/>
                <w:highlight w:val="none"/>
                <w:lang w:val="en-US" w:eastAsia="zh-CN"/>
              </w:rPr>
              <w:t>5</w:t>
            </w:r>
            <w:r>
              <w:rPr>
                <w:rFonts w:hint="default" w:ascii="方正仿宋_GBK" w:hAnsi="仿宋" w:eastAsia="仿宋" w:cs="仿宋"/>
                <w:color w:val="auto"/>
                <w:kern w:val="0"/>
                <w:szCs w:val="28"/>
                <w:highlight w:val="none"/>
                <w:lang w:val="en-US" w:eastAsia="zh-CN"/>
              </w:rPr>
              <w:t>分，每减少一元，加</w:t>
            </w:r>
            <w:r>
              <w:rPr>
                <w:rFonts w:hint="eastAsia" w:ascii="方正仿宋_GBK" w:hAnsi="仿宋" w:eastAsia="仿宋" w:cs="仿宋"/>
                <w:color w:val="auto"/>
                <w:kern w:val="0"/>
                <w:szCs w:val="28"/>
                <w:highlight w:val="none"/>
                <w:lang w:val="en-US" w:eastAsia="zh-CN"/>
              </w:rPr>
              <w:t>1</w:t>
            </w:r>
            <w:r>
              <w:rPr>
                <w:rFonts w:hint="default" w:ascii="方正仿宋_GBK" w:hAnsi="仿宋" w:eastAsia="仿宋" w:cs="仿宋"/>
                <w:color w:val="auto"/>
                <w:kern w:val="0"/>
                <w:szCs w:val="28"/>
                <w:highlight w:val="none"/>
                <w:lang w:val="en-US" w:eastAsia="zh-CN"/>
              </w:rPr>
              <w:t>分</w:t>
            </w:r>
            <w:r>
              <w:rPr>
                <w:rFonts w:hint="eastAsia" w:ascii="方正仿宋_GBK" w:hAnsi="仿宋" w:eastAsia="仿宋" w:cs="仿宋"/>
                <w:color w:val="auto"/>
                <w:kern w:val="0"/>
                <w:szCs w:val="28"/>
                <w:highlight w:val="none"/>
                <w:lang w:val="en-US" w:eastAsia="zh-CN"/>
              </w:rPr>
              <w:t>，</w:t>
            </w:r>
            <w:r>
              <w:rPr>
                <w:rFonts w:hint="default" w:ascii="方正仿宋_GBK" w:hAnsi="仿宋" w:eastAsia="仿宋" w:cs="仿宋"/>
                <w:color w:val="auto"/>
                <w:kern w:val="0"/>
                <w:szCs w:val="28"/>
                <w:highlight w:val="none"/>
                <w:lang w:val="en-US" w:eastAsia="zh-CN"/>
              </w:rPr>
              <w:t>最高得</w:t>
            </w:r>
            <w:r>
              <w:rPr>
                <w:rFonts w:hint="eastAsia" w:ascii="方正仿宋_GBK" w:hAnsi="仿宋" w:eastAsia="仿宋" w:cs="仿宋"/>
                <w:color w:val="auto"/>
                <w:kern w:val="0"/>
                <w:szCs w:val="28"/>
                <w:highlight w:val="none"/>
                <w:lang w:val="en-US" w:eastAsia="zh-CN"/>
              </w:rPr>
              <w:t>8</w:t>
            </w:r>
            <w:r>
              <w:rPr>
                <w:rFonts w:hint="default" w:ascii="方正仿宋_GBK" w:hAnsi="仿宋" w:eastAsia="仿宋" w:cs="仿宋"/>
                <w:color w:val="auto"/>
                <w:kern w:val="0"/>
                <w:szCs w:val="28"/>
                <w:highlight w:val="none"/>
                <w:lang w:val="en-US" w:eastAsia="zh-CN"/>
              </w:rPr>
              <w:t>分。</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val="en-US" w:eastAsia="zh-CN"/>
              </w:rPr>
            </w:pPr>
            <w:r>
              <w:rPr>
                <w:rFonts w:hint="eastAsia" w:ascii="方正仿宋_GBK" w:hAnsi="仿宋" w:eastAsia="仿宋" w:cs="仿宋"/>
                <w:color w:val="auto"/>
                <w:kern w:val="0"/>
                <w:szCs w:val="28"/>
                <w:highlight w:val="none"/>
                <w:lang w:val="en-US" w:eastAsia="zh-CN"/>
              </w:rPr>
              <w:t>15</w:t>
            </w: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left"/>
              <w:rPr>
                <w:rFonts w:hint="default" w:ascii="方正仿宋_GBK" w:hAnsi="仿宋" w:eastAsia="仿宋" w:cs="仿宋"/>
                <w:color w:val="auto"/>
                <w:kern w:val="0"/>
                <w:szCs w:val="28"/>
                <w:highlight w:val="none"/>
              </w:rPr>
            </w:pPr>
          </w:p>
        </w:tc>
      </w:tr>
      <w:tr>
        <w:tblPrEx>
          <w:tblCellMar>
            <w:top w:w="0" w:type="dxa"/>
            <w:left w:w="108" w:type="dxa"/>
            <w:bottom w:w="0" w:type="dxa"/>
            <w:right w:w="108" w:type="dxa"/>
          </w:tblCellMar>
        </w:tblPrEx>
        <w:trPr>
          <w:trHeight w:val="2835" w:hRule="atLeast"/>
        </w:trPr>
        <w:tc>
          <w:tcPr>
            <w:tcW w:w="90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eastAsia="zh-CN"/>
              </w:rPr>
            </w:pPr>
            <w:r>
              <w:rPr>
                <w:rFonts w:hint="default" w:ascii="方正仿宋_GBK" w:hAnsi="仿宋" w:eastAsia="仿宋" w:cs="仿宋"/>
                <w:color w:val="auto"/>
                <w:kern w:val="0"/>
                <w:szCs w:val="28"/>
                <w:highlight w:val="none"/>
                <w:lang w:eastAsia="zh-CN"/>
              </w:rPr>
              <w:t>二、技术部分</w:t>
            </w:r>
            <w:r>
              <w:rPr>
                <w:rFonts w:hint="default" w:ascii="方正仿宋_GBK" w:hAnsi="仿宋" w:eastAsia="仿宋" w:cs="仿宋"/>
                <w:color w:val="auto"/>
                <w:kern w:val="0"/>
                <w:szCs w:val="28"/>
                <w:highlight w:val="none"/>
                <w:lang w:val="en-US" w:eastAsia="zh-CN"/>
              </w:rPr>
              <w:t>（8</w:t>
            </w:r>
            <w:r>
              <w:rPr>
                <w:rFonts w:hint="eastAsia" w:ascii="方正仿宋_GBK" w:hAnsi="仿宋" w:eastAsia="仿宋" w:cs="仿宋"/>
                <w:color w:val="auto"/>
                <w:kern w:val="0"/>
                <w:szCs w:val="28"/>
                <w:highlight w:val="none"/>
                <w:lang w:val="en-US" w:eastAsia="zh-CN"/>
              </w:rPr>
              <w:t>3</w:t>
            </w:r>
            <w:r>
              <w:rPr>
                <w:rFonts w:hint="default" w:ascii="方正仿宋_GBK" w:hAnsi="仿宋" w:eastAsia="仿宋" w:cs="仿宋"/>
                <w:color w:val="auto"/>
                <w:kern w:val="0"/>
                <w:szCs w:val="28"/>
                <w:highlight w:val="none"/>
                <w:lang w:val="en-US" w:eastAsia="zh-CN"/>
              </w:rPr>
              <w:t>分）</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rPr>
            </w:pPr>
            <w:r>
              <w:rPr>
                <w:rFonts w:hint="default" w:ascii="方正仿宋_GBK" w:hAnsi="仿宋" w:eastAsia="仿宋" w:cs="仿宋"/>
                <w:color w:val="auto"/>
                <w:kern w:val="0"/>
                <w:szCs w:val="28"/>
                <w:highlight w:val="none"/>
              </w:rPr>
              <w:t>（</w:t>
            </w:r>
            <w:r>
              <w:rPr>
                <w:rFonts w:hint="default" w:ascii="方正仿宋_GBK" w:hAnsi="仿宋" w:eastAsia="仿宋" w:cs="仿宋"/>
                <w:color w:val="auto"/>
                <w:kern w:val="0"/>
                <w:szCs w:val="28"/>
                <w:highlight w:val="none"/>
                <w:lang w:eastAsia="zh-CN"/>
              </w:rPr>
              <w:t>一</w:t>
            </w:r>
            <w:r>
              <w:rPr>
                <w:rFonts w:hint="default" w:ascii="方正仿宋_GBK" w:hAnsi="仿宋" w:eastAsia="仿宋" w:cs="仿宋"/>
                <w:color w:val="auto"/>
                <w:kern w:val="0"/>
                <w:szCs w:val="28"/>
                <w:highlight w:val="none"/>
              </w:rPr>
              <w:t>）服务</w:t>
            </w:r>
            <w:r>
              <w:rPr>
                <w:rFonts w:hint="default" w:ascii="方正仿宋_GBK" w:hAnsi="仿宋" w:eastAsia="仿宋" w:cs="仿宋"/>
                <w:color w:val="auto"/>
                <w:kern w:val="0"/>
                <w:szCs w:val="28"/>
                <w:highlight w:val="none"/>
                <w:lang w:eastAsia="zh-CN"/>
              </w:rPr>
              <w:t>方案及菜品质量</w:t>
            </w:r>
            <w:r>
              <w:rPr>
                <w:rFonts w:hint="default" w:ascii="方正仿宋_GBK" w:hAnsi="仿宋" w:eastAsia="仿宋" w:cs="仿宋"/>
                <w:color w:val="auto"/>
                <w:kern w:val="0"/>
                <w:szCs w:val="28"/>
                <w:highlight w:val="none"/>
                <w:lang w:val="en-US" w:eastAsia="zh-CN"/>
              </w:rPr>
              <w:t xml:space="preserve">  </w:t>
            </w:r>
            <w:r>
              <w:rPr>
                <w:rFonts w:hint="default" w:ascii="方正仿宋_GBK" w:hAnsi="仿宋" w:eastAsia="仿宋" w:cs="仿宋"/>
                <w:color w:val="auto"/>
                <w:kern w:val="0"/>
                <w:szCs w:val="28"/>
                <w:highlight w:val="none"/>
              </w:rPr>
              <w:t>（</w:t>
            </w:r>
            <w:r>
              <w:rPr>
                <w:rFonts w:hint="default" w:ascii="方正仿宋_GBK" w:hAnsi="仿宋" w:eastAsia="仿宋" w:cs="仿宋"/>
                <w:color w:val="auto"/>
                <w:kern w:val="0"/>
                <w:szCs w:val="28"/>
                <w:highlight w:val="none"/>
                <w:lang w:val="en-US" w:eastAsia="zh-CN"/>
              </w:rPr>
              <w:t>5</w:t>
            </w:r>
            <w:r>
              <w:rPr>
                <w:rFonts w:hint="eastAsia" w:ascii="方正仿宋_GBK" w:hAnsi="仿宋" w:eastAsia="仿宋" w:cs="仿宋"/>
                <w:color w:val="auto"/>
                <w:kern w:val="0"/>
                <w:szCs w:val="28"/>
                <w:highlight w:val="none"/>
                <w:lang w:val="en-US" w:eastAsia="zh-CN"/>
              </w:rPr>
              <w:t>0</w:t>
            </w:r>
            <w:r>
              <w:rPr>
                <w:rFonts w:hint="default" w:ascii="方正仿宋_GBK" w:hAnsi="仿宋" w:eastAsia="仿宋" w:cs="仿宋"/>
                <w:color w:val="auto"/>
                <w:kern w:val="0"/>
                <w:szCs w:val="28"/>
                <w:highlight w:val="none"/>
                <w:lang w:val="en-US" w:eastAsia="zh-CN"/>
              </w:rPr>
              <w:t>分</w:t>
            </w:r>
            <w:r>
              <w:rPr>
                <w:rFonts w:hint="default" w:ascii="方正仿宋_GBK" w:hAnsi="仿宋" w:eastAsia="仿宋" w:cs="仿宋"/>
                <w:color w:val="auto"/>
                <w:kern w:val="0"/>
                <w:szCs w:val="28"/>
                <w:highlight w:val="none"/>
              </w:rPr>
              <w:t>）</w:t>
            </w:r>
          </w:p>
        </w:tc>
        <w:tc>
          <w:tcPr>
            <w:tcW w:w="6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rPr>
            </w:pPr>
            <w:r>
              <w:rPr>
                <w:rFonts w:hint="default" w:ascii="方正仿宋_GBK" w:hAnsi="仿宋" w:eastAsia="仿宋" w:cs="仿宋"/>
                <w:color w:val="auto"/>
                <w:kern w:val="0"/>
                <w:szCs w:val="28"/>
                <w:highlight w:val="none"/>
                <w:lang w:val="en-US" w:eastAsia="zh-CN"/>
              </w:rPr>
              <w:t>1.</w:t>
            </w:r>
            <w:r>
              <w:rPr>
                <w:rFonts w:hint="default" w:ascii="方正仿宋_GBK" w:hAnsi="仿宋" w:eastAsia="仿宋" w:cs="仿宋"/>
                <w:color w:val="auto"/>
                <w:kern w:val="0"/>
                <w:szCs w:val="28"/>
                <w:highlight w:val="none"/>
              </w:rPr>
              <w:t>分别对医院职工和病员就餐要求制定科学、合理且具有实际可操作的早、中、晚餐菜品搭配方案及餐饮服务方案</w:t>
            </w:r>
            <w:r>
              <w:rPr>
                <w:rFonts w:hint="default" w:ascii="方正仿宋_GBK" w:hAnsi="仿宋" w:eastAsia="仿宋" w:cs="仿宋"/>
                <w:color w:val="auto"/>
                <w:kern w:val="0"/>
                <w:szCs w:val="28"/>
                <w:highlight w:val="none"/>
                <w:lang w:eastAsia="zh-CN"/>
              </w:rPr>
              <w:t>（含点餐送餐等</w:t>
            </w:r>
            <w:r>
              <w:rPr>
                <w:rFonts w:hint="default" w:ascii="方正仿宋_GBK" w:hAnsi="仿宋" w:eastAsia="仿宋" w:cs="仿宋"/>
                <w:color w:val="auto"/>
                <w:kern w:val="0"/>
                <w:szCs w:val="28"/>
                <w:highlight w:val="none"/>
                <w:lang w:val="en-US" w:eastAsia="zh-CN"/>
              </w:rPr>
              <w:t>）</w:t>
            </w:r>
            <w:r>
              <w:rPr>
                <w:rFonts w:hint="default" w:ascii="方正仿宋_GBK" w:hAnsi="仿宋" w:eastAsia="仿宋" w:cs="仿宋"/>
                <w:color w:val="auto"/>
                <w:kern w:val="0"/>
                <w:szCs w:val="28"/>
                <w:highlight w:val="none"/>
              </w:rPr>
              <w:t>，根据</w:t>
            </w:r>
            <w:r>
              <w:rPr>
                <w:rFonts w:hint="eastAsia" w:ascii="方正仿宋_GBK" w:hAnsi="仿宋" w:eastAsia="仿宋" w:cs="仿宋"/>
                <w:color w:val="auto"/>
                <w:kern w:val="0"/>
                <w:szCs w:val="28"/>
                <w:highlight w:val="none"/>
                <w:lang w:eastAsia="zh-CN"/>
              </w:rPr>
              <w:t>参比人</w:t>
            </w:r>
            <w:r>
              <w:rPr>
                <w:rFonts w:hint="default" w:ascii="方正仿宋_GBK" w:hAnsi="仿宋" w:eastAsia="仿宋" w:cs="仿宋"/>
                <w:color w:val="auto"/>
                <w:kern w:val="0"/>
                <w:szCs w:val="28"/>
                <w:highlight w:val="none"/>
              </w:rPr>
              <w:t>菜品搭配、营养丰富、食物色香味俱全、食物多样化进行评审：方案针对性强、可行性高，内容完整、操作性强得</w:t>
            </w:r>
            <w:r>
              <w:rPr>
                <w:rFonts w:hint="default" w:ascii="方正仿宋_GBK" w:hAnsi="仿宋" w:eastAsia="仿宋" w:cs="仿宋"/>
                <w:color w:val="auto"/>
                <w:kern w:val="0"/>
                <w:szCs w:val="28"/>
                <w:highlight w:val="none"/>
                <w:lang w:val="en-US" w:eastAsia="zh-CN"/>
              </w:rPr>
              <w:t>10</w:t>
            </w:r>
            <w:r>
              <w:rPr>
                <w:rFonts w:hint="default" w:ascii="方正仿宋_GBK" w:hAnsi="仿宋" w:eastAsia="仿宋" w:cs="仿宋"/>
                <w:color w:val="auto"/>
                <w:kern w:val="0"/>
                <w:szCs w:val="28"/>
                <w:highlight w:val="none"/>
              </w:rPr>
              <w:t>分；方案内容</w:t>
            </w:r>
            <w:r>
              <w:rPr>
                <w:rFonts w:hint="default" w:ascii="方正仿宋_GBK" w:hAnsi="仿宋" w:eastAsia="仿宋" w:cs="仿宋"/>
                <w:color w:val="auto"/>
                <w:kern w:val="0"/>
                <w:szCs w:val="28"/>
                <w:highlight w:val="none"/>
                <w:lang w:eastAsia="zh-CN"/>
              </w:rPr>
              <w:t>较</w:t>
            </w:r>
            <w:r>
              <w:rPr>
                <w:rFonts w:hint="default" w:ascii="方正仿宋_GBK" w:hAnsi="仿宋" w:eastAsia="仿宋" w:cs="仿宋"/>
                <w:color w:val="auto"/>
                <w:kern w:val="0"/>
                <w:szCs w:val="28"/>
                <w:highlight w:val="none"/>
              </w:rPr>
              <w:t>完整、科学</w:t>
            </w:r>
            <w:r>
              <w:rPr>
                <w:rFonts w:hint="default" w:ascii="方正仿宋_GBK" w:hAnsi="仿宋" w:eastAsia="仿宋" w:cs="仿宋"/>
                <w:color w:val="auto"/>
                <w:kern w:val="0"/>
                <w:szCs w:val="28"/>
                <w:highlight w:val="none"/>
                <w:lang w:eastAsia="zh-CN"/>
              </w:rPr>
              <w:t>较</w:t>
            </w:r>
            <w:r>
              <w:rPr>
                <w:rFonts w:hint="default" w:ascii="方正仿宋_GBK" w:hAnsi="仿宋" w:eastAsia="仿宋" w:cs="仿宋"/>
                <w:color w:val="auto"/>
                <w:kern w:val="0"/>
                <w:szCs w:val="28"/>
                <w:highlight w:val="none"/>
              </w:rPr>
              <w:t>有效，有较好操作性得</w:t>
            </w:r>
            <w:r>
              <w:rPr>
                <w:rFonts w:hint="default" w:ascii="方正仿宋_GBK" w:hAnsi="仿宋" w:eastAsia="仿宋" w:cs="仿宋"/>
                <w:color w:val="auto"/>
                <w:kern w:val="0"/>
                <w:szCs w:val="28"/>
                <w:highlight w:val="none"/>
                <w:lang w:val="en-US" w:eastAsia="zh-CN"/>
              </w:rPr>
              <w:t>6</w:t>
            </w:r>
            <w:r>
              <w:rPr>
                <w:rFonts w:hint="default" w:ascii="方正仿宋_GBK" w:hAnsi="仿宋" w:eastAsia="仿宋" w:cs="仿宋"/>
                <w:color w:val="auto"/>
                <w:kern w:val="0"/>
                <w:szCs w:val="28"/>
                <w:highlight w:val="none"/>
              </w:rPr>
              <w:t>分；方案不完整得</w:t>
            </w:r>
            <w:r>
              <w:rPr>
                <w:rFonts w:hint="default" w:ascii="方正仿宋_GBK" w:hAnsi="仿宋" w:eastAsia="仿宋" w:cs="仿宋"/>
                <w:color w:val="auto"/>
                <w:kern w:val="0"/>
                <w:szCs w:val="28"/>
                <w:highlight w:val="none"/>
                <w:lang w:val="en-US" w:eastAsia="zh-CN"/>
              </w:rPr>
              <w:t>2</w:t>
            </w:r>
            <w:r>
              <w:rPr>
                <w:rFonts w:hint="default" w:ascii="方正仿宋_GBK" w:hAnsi="仿宋" w:eastAsia="仿宋" w:cs="仿宋"/>
                <w:color w:val="auto"/>
                <w:kern w:val="0"/>
                <w:szCs w:val="28"/>
                <w:highlight w:val="none"/>
              </w:rPr>
              <w:t>分</w:t>
            </w:r>
            <w:r>
              <w:rPr>
                <w:rFonts w:hint="default" w:ascii="方正仿宋_GBK" w:hAnsi="仿宋" w:eastAsia="仿宋" w:cs="仿宋"/>
                <w:color w:val="auto"/>
                <w:kern w:val="0"/>
                <w:szCs w:val="28"/>
                <w:highlight w:val="none"/>
                <w:lang w:eastAsia="zh-CN"/>
              </w:rPr>
              <w:t>；无方案得</w:t>
            </w:r>
            <w:r>
              <w:rPr>
                <w:rFonts w:hint="default" w:ascii="方正仿宋_GBK" w:hAnsi="仿宋" w:eastAsia="仿宋" w:cs="仿宋"/>
                <w:color w:val="auto"/>
                <w:kern w:val="0"/>
                <w:szCs w:val="28"/>
                <w:highlight w:val="none"/>
                <w:lang w:val="en-US" w:eastAsia="zh-CN"/>
              </w:rPr>
              <w:t>0分。</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10</w:t>
            </w:r>
          </w:p>
        </w:tc>
        <w:tc>
          <w:tcPr>
            <w:tcW w:w="85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left"/>
              <w:rPr>
                <w:rFonts w:hint="default" w:ascii="方正仿宋_GBK" w:hAnsi="仿宋" w:eastAsia="仿宋" w:cs="仿宋"/>
                <w:color w:val="auto"/>
                <w:kern w:val="0"/>
                <w:szCs w:val="28"/>
                <w:highlight w:val="none"/>
              </w:rPr>
            </w:pPr>
            <w:r>
              <w:rPr>
                <w:rFonts w:hint="default" w:ascii="方正仿宋_GBK" w:hAnsi="仿宋" w:eastAsia="仿宋" w:cs="仿宋"/>
                <w:color w:val="auto"/>
                <w:kern w:val="0"/>
                <w:szCs w:val="28"/>
                <w:highlight w:val="none"/>
              </w:rPr>
              <w:t>　　</w:t>
            </w:r>
          </w:p>
        </w:tc>
      </w:tr>
      <w:tr>
        <w:tblPrEx>
          <w:tblCellMar>
            <w:top w:w="0" w:type="dxa"/>
            <w:left w:w="108" w:type="dxa"/>
            <w:bottom w:w="0" w:type="dxa"/>
            <w:right w:w="108" w:type="dxa"/>
          </w:tblCellMar>
        </w:tblPrEx>
        <w:trPr>
          <w:trHeight w:val="1221" w:hRule="atLeast"/>
        </w:trPr>
        <w:tc>
          <w:tcPr>
            <w:tcW w:w="90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tc>
        <w:tc>
          <w:tcPr>
            <w:tcW w:w="63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2.用餐标准</w:t>
            </w:r>
          </w:p>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①早餐：</w:t>
            </w:r>
          </w:p>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基准：提供粥类、豆浆、银耳汤</w:t>
            </w:r>
            <w:r>
              <w:rPr>
                <w:rFonts w:hint="eastAsia" w:ascii="方正仿宋_GBK" w:hAnsi="仿宋" w:eastAsia="仿宋" w:cs="仿宋"/>
                <w:color w:val="auto"/>
                <w:kern w:val="0"/>
                <w:szCs w:val="28"/>
                <w:highlight w:val="none"/>
                <w:lang w:val="en-US" w:eastAsia="zh-CN"/>
              </w:rPr>
              <w:t>、盒装牛奶、酸奶</w:t>
            </w:r>
            <w:r>
              <w:rPr>
                <w:rFonts w:hint="default" w:ascii="方正仿宋_GBK" w:hAnsi="仿宋" w:eastAsia="仿宋" w:cs="仿宋"/>
                <w:color w:val="auto"/>
                <w:kern w:val="0"/>
                <w:szCs w:val="28"/>
                <w:highlight w:val="none"/>
                <w:lang w:val="en-US" w:eastAsia="zh-CN"/>
              </w:rPr>
              <w:t>等；包子、馒头、油条、麻圆、蒸饺、烧麦、发糕、花卷、春卷、海苔卷、糯米鸡、饭团、玉米、杂粮、甜甜圈、酸奶麻花、糍粑块等；鸡蛋、盐蛋、煎蛋、小面、杂酱面、鸡杂面、米线、咸菜、小菜等的得10分</w:t>
            </w:r>
            <w:r>
              <w:rPr>
                <w:rFonts w:hint="eastAsia" w:ascii="方正仿宋_GBK" w:hAnsi="仿宋" w:eastAsia="仿宋" w:cs="仿宋"/>
                <w:color w:val="auto"/>
                <w:kern w:val="0"/>
                <w:szCs w:val="28"/>
                <w:highlight w:val="none"/>
                <w:lang w:val="en-US" w:eastAsia="zh-CN"/>
              </w:rPr>
              <w:t>，差1样菜品不得分</w:t>
            </w:r>
            <w:r>
              <w:rPr>
                <w:rFonts w:hint="default" w:ascii="方正仿宋_GBK" w:hAnsi="仿宋" w:eastAsia="仿宋" w:cs="仿宋"/>
                <w:color w:val="auto"/>
                <w:kern w:val="0"/>
                <w:szCs w:val="28"/>
                <w:highlight w:val="none"/>
                <w:lang w:val="en-US" w:eastAsia="zh-CN"/>
              </w:rPr>
              <w:t>；在上述用餐标准下每多提供1个品种的加</w:t>
            </w:r>
            <w:r>
              <w:rPr>
                <w:rFonts w:hint="eastAsia" w:ascii="方正仿宋_GBK" w:hAnsi="仿宋" w:eastAsia="仿宋" w:cs="仿宋"/>
                <w:color w:val="auto"/>
                <w:kern w:val="0"/>
                <w:szCs w:val="28"/>
                <w:highlight w:val="none"/>
                <w:lang w:val="en-US" w:eastAsia="zh-CN"/>
              </w:rPr>
              <w:t>2</w:t>
            </w:r>
            <w:r>
              <w:rPr>
                <w:rFonts w:hint="default" w:ascii="方正仿宋_GBK" w:hAnsi="仿宋" w:eastAsia="仿宋" w:cs="仿宋"/>
                <w:color w:val="auto"/>
                <w:kern w:val="0"/>
                <w:szCs w:val="28"/>
                <w:highlight w:val="none"/>
                <w:lang w:val="en-US" w:eastAsia="zh-CN"/>
              </w:rPr>
              <w:t>分，最高得</w:t>
            </w:r>
            <w:r>
              <w:rPr>
                <w:rFonts w:hint="eastAsia" w:ascii="方正仿宋_GBK" w:hAnsi="仿宋" w:eastAsia="仿宋" w:cs="仿宋"/>
                <w:color w:val="auto"/>
                <w:kern w:val="0"/>
                <w:szCs w:val="28"/>
                <w:highlight w:val="none"/>
                <w:lang w:val="en-US" w:eastAsia="zh-CN"/>
              </w:rPr>
              <w:t>10</w:t>
            </w:r>
            <w:r>
              <w:rPr>
                <w:rFonts w:hint="default" w:ascii="方正仿宋_GBK" w:hAnsi="仿宋" w:eastAsia="仿宋" w:cs="仿宋"/>
                <w:color w:val="auto"/>
                <w:kern w:val="0"/>
                <w:szCs w:val="28"/>
                <w:highlight w:val="none"/>
                <w:lang w:val="en-US" w:eastAsia="zh-CN"/>
              </w:rPr>
              <w:t>分；本项目最高分合计20分。</w:t>
            </w:r>
          </w:p>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②中餐：</w:t>
            </w:r>
          </w:p>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以四荤三素（参照本招标方案中食材采购标准，</w:t>
            </w:r>
            <w:r>
              <w:rPr>
                <w:rFonts w:hint="eastAsia" w:ascii="方正仿宋_GBK" w:hAnsi="仿宋" w:eastAsia="仿宋" w:cs="仿宋"/>
                <w:color w:val="auto"/>
                <w:kern w:val="0"/>
                <w:szCs w:val="28"/>
                <w:highlight w:val="none"/>
                <w:lang w:val="en-US" w:eastAsia="zh-CN"/>
              </w:rPr>
              <w:t>每天</w:t>
            </w:r>
            <w:r>
              <w:rPr>
                <w:rFonts w:hint="default" w:ascii="方正仿宋_GBK" w:hAnsi="仿宋" w:eastAsia="仿宋" w:cs="仿宋"/>
                <w:color w:val="auto"/>
                <w:kern w:val="0"/>
                <w:szCs w:val="28"/>
                <w:highlight w:val="none"/>
                <w:lang w:val="en-US" w:eastAsia="zh-CN"/>
              </w:rPr>
              <w:t>不低于</w:t>
            </w:r>
            <w:r>
              <w:rPr>
                <w:rFonts w:hint="eastAsia" w:ascii="方正仿宋_GBK" w:hAnsi="仿宋" w:eastAsia="仿宋" w:cs="仿宋"/>
                <w:color w:val="auto"/>
                <w:kern w:val="0"/>
                <w:szCs w:val="28"/>
                <w:highlight w:val="none"/>
                <w:lang w:val="en-US" w:eastAsia="zh-CN"/>
              </w:rPr>
              <w:t>两</w:t>
            </w:r>
            <w:r>
              <w:rPr>
                <w:rFonts w:hint="default" w:ascii="方正仿宋_GBK" w:hAnsi="仿宋" w:eastAsia="仿宋" w:cs="仿宋"/>
                <w:color w:val="auto"/>
                <w:kern w:val="0"/>
                <w:szCs w:val="28"/>
                <w:highlight w:val="none"/>
                <w:lang w:val="en-US" w:eastAsia="zh-CN"/>
              </w:rPr>
              <w:t>个品种</w:t>
            </w:r>
            <w:r>
              <w:rPr>
                <w:rFonts w:hint="eastAsia" w:ascii="方正仿宋_GBK" w:hAnsi="仿宋" w:eastAsia="仿宋" w:cs="仿宋"/>
                <w:color w:val="auto"/>
                <w:kern w:val="0"/>
                <w:szCs w:val="28"/>
                <w:highlight w:val="none"/>
                <w:lang w:val="en-US" w:eastAsia="zh-CN"/>
              </w:rPr>
              <w:t>荤菜更新</w:t>
            </w:r>
            <w:r>
              <w:rPr>
                <w:rFonts w:hint="default" w:ascii="方正仿宋_GBK" w:hAnsi="仿宋" w:eastAsia="仿宋" w:cs="仿宋"/>
                <w:color w:val="auto"/>
                <w:kern w:val="0"/>
                <w:szCs w:val="28"/>
                <w:highlight w:val="none"/>
                <w:lang w:val="en-US" w:eastAsia="zh-CN"/>
              </w:rPr>
              <w:t>）、两汤（1荤1素）为基准得15分；每增加一个荤得2分，增加一个素菜1分，最高可得5分。本项目最高得20分；（小碗菜分量≥70g，荤菜中单菜品荤素不小于0.3：0.7）。</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40</w:t>
            </w:r>
          </w:p>
        </w:tc>
        <w:tc>
          <w:tcPr>
            <w:tcW w:w="85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left"/>
              <w:rPr>
                <w:rFonts w:hint="default" w:ascii="方正仿宋_GBK" w:hAnsi="仿宋" w:eastAsia="仿宋" w:cs="仿宋"/>
                <w:color w:val="auto"/>
                <w:kern w:val="0"/>
                <w:szCs w:val="28"/>
                <w:highlight w:val="none"/>
              </w:rPr>
            </w:pPr>
          </w:p>
        </w:tc>
      </w:tr>
      <w:tr>
        <w:tblPrEx>
          <w:tblCellMar>
            <w:top w:w="0" w:type="dxa"/>
            <w:left w:w="108" w:type="dxa"/>
            <w:bottom w:w="0" w:type="dxa"/>
            <w:right w:w="108" w:type="dxa"/>
          </w:tblCellMar>
        </w:tblPrEx>
        <w:trPr>
          <w:trHeight w:val="1561" w:hRule="atLeast"/>
        </w:trPr>
        <w:tc>
          <w:tcPr>
            <w:tcW w:w="901"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eastAsia="zh-CN"/>
              </w:rPr>
            </w:pPr>
            <w:r>
              <w:rPr>
                <w:rFonts w:hint="default" w:ascii="方正仿宋_GBK" w:hAnsi="仿宋" w:eastAsia="仿宋" w:cs="仿宋"/>
                <w:color w:val="auto"/>
                <w:kern w:val="0"/>
                <w:szCs w:val="28"/>
                <w:highlight w:val="none"/>
                <w:lang w:eastAsia="zh-CN"/>
              </w:rPr>
              <w:t>（二）</w:t>
            </w:r>
          </w:p>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eastAsia="zh-CN"/>
              </w:rPr>
            </w:pPr>
            <w:r>
              <w:rPr>
                <w:rFonts w:hint="default" w:ascii="方正仿宋_GBK" w:hAnsi="仿宋" w:eastAsia="仿宋" w:cs="仿宋"/>
                <w:color w:val="auto"/>
                <w:kern w:val="0"/>
                <w:szCs w:val="28"/>
                <w:highlight w:val="none"/>
                <w:lang w:eastAsia="zh-CN"/>
              </w:rPr>
              <w:t>食品</w:t>
            </w:r>
            <w:r>
              <w:rPr>
                <w:rFonts w:hint="default" w:ascii="方正仿宋_GBK" w:hAnsi="仿宋" w:eastAsia="仿宋" w:cs="仿宋"/>
                <w:color w:val="auto"/>
                <w:kern w:val="0"/>
                <w:szCs w:val="28"/>
                <w:highlight w:val="none"/>
                <w:lang w:val="en-US" w:eastAsia="zh-CN"/>
              </w:rPr>
              <w:t xml:space="preserve"> </w:t>
            </w:r>
            <w:r>
              <w:rPr>
                <w:rFonts w:hint="default" w:ascii="方正仿宋_GBK" w:hAnsi="仿宋" w:eastAsia="仿宋" w:cs="仿宋"/>
                <w:color w:val="auto"/>
                <w:kern w:val="0"/>
                <w:szCs w:val="28"/>
                <w:highlight w:val="none"/>
                <w:lang w:eastAsia="zh-CN"/>
              </w:rPr>
              <w:t>安全</w:t>
            </w:r>
          </w:p>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eastAsia="zh-CN"/>
              </w:rPr>
            </w:pPr>
            <w:r>
              <w:rPr>
                <w:rFonts w:hint="default" w:ascii="方正仿宋_GBK" w:hAnsi="仿宋" w:eastAsia="仿宋" w:cs="仿宋"/>
                <w:color w:val="auto"/>
                <w:kern w:val="0"/>
                <w:szCs w:val="28"/>
                <w:highlight w:val="none"/>
                <w:lang w:val="en-US" w:eastAsia="zh-CN"/>
              </w:rPr>
              <w:t>（2</w:t>
            </w:r>
            <w:r>
              <w:rPr>
                <w:rFonts w:hint="eastAsia" w:ascii="方正仿宋_GBK" w:hAnsi="仿宋" w:eastAsia="仿宋" w:cs="仿宋"/>
                <w:color w:val="auto"/>
                <w:kern w:val="0"/>
                <w:szCs w:val="28"/>
                <w:highlight w:val="none"/>
                <w:lang w:val="en-US" w:eastAsia="zh-CN"/>
              </w:rPr>
              <w:t>8</w:t>
            </w:r>
            <w:r>
              <w:rPr>
                <w:rFonts w:hint="default" w:ascii="方正仿宋_GBK" w:hAnsi="仿宋" w:eastAsia="仿宋" w:cs="仿宋"/>
                <w:color w:val="auto"/>
                <w:kern w:val="0"/>
                <w:szCs w:val="28"/>
                <w:highlight w:val="none"/>
                <w:lang w:val="en-US" w:eastAsia="zh-CN"/>
              </w:rPr>
              <w:t>分）</w:t>
            </w:r>
          </w:p>
        </w:tc>
        <w:tc>
          <w:tcPr>
            <w:tcW w:w="6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hint="default"/>
                <w:color w:val="auto"/>
                <w:szCs w:val="20"/>
                <w:highlight w:val="none"/>
                <w:lang w:val="en-US" w:eastAsia="zh-CN"/>
              </w:rPr>
            </w:pPr>
            <w:r>
              <w:rPr>
                <w:rFonts w:hint="default"/>
                <w:color w:val="auto"/>
                <w:szCs w:val="20"/>
                <w:highlight w:val="none"/>
                <w:lang w:val="en-US" w:eastAsia="zh-CN"/>
              </w:rPr>
              <w:t>1.食材来源：</w:t>
            </w:r>
          </w:p>
          <w:p>
            <w:pPr>
              <w:keepNext w:val="0"/>
              <w:keepLines w:val="0"/>
              <w:suppressLineNumbers w:val="0"/>
              <w:spacing w:before="0" w:beforeAutospacing="0" w:after="0" w:afterAutospacing="0" w:line="520" w:lineRule="exact"/>
              <w:ind w:left="0" w:right="0"/>
              <w:jc w:val="left"/>
              <w:rPr>
                <w:rFonts w:hint="default"/>
                <w:color w:val="auto"/>
                <w:szCs w:val="20"/>
                <w:highlight w:val="none"/>
                <w:lang w:val="en-US" w:eastAsia="zh-CN"/>
              </w:rPr>
            </w:pPr>
            <w:r>
              <w:rPr>
                <w:rFonts w:hint="default"/>
                <w:color w:val="auto"/>
                <w:szCs w:val="20"/>
                <w:highlight w:val="none"/>
                <w:lang w:val="en-US" w:eastAsia="zh-CN"/>
              </w:rPr>
              <w:t>①有安全、完善的食品采购方案：方案针对性强、可行性高，内容完整、操作性强得</w:t>
            </w:r>
            <w:r>
              <w:rPr>
                <w:rFonts w:hint="eastAsia"/>
                <w:color w:val="auto"/>
                <w:szCs w:val="20"/>
                <w:highlight w:val="none"/>
                <w:lang w:val="en-US" w:eastAsia="zh-CN"/>
              </w:rPr>
              <w:t>6</w:t>
            </w:r>
            <w:r>
              <w:rPr>
                <w:rFonts w:hint="default"/>
                <w:color w:val="auto"/>
                <w:szCs w:val="20"/>
                <w:highlight w:val="none"/>
                <w:lang w:val="en-US" w:eastAsia="zh-CN"/>
              </w:rPr>
              <w:t>分；方案内容较完整、科学有效，有较好操作性得</w:t>
            </w:r>
            <w:r>
              <w:rPr>
                <w:rFonts w:hint="eastAsia"/>
                <w:color w:val="auto"/>
                <w:szCs w:val="20"/>
                <w:highlight w:val="none"/>
                <w:lang w:val="en-US" w:eastAsia="zh-CN"/>
              </w:rPr>
              <w:t>3</w:t>
            </w:r>
            <w:r>
              <w:rPr>
                <w:rFonts w:hint="default"/>
                <w:color w:val="auto"/>
                <w:szCs w:val="20"/>
                <w:highlight w:val="none"/>
                <w:lang w:val="en-US" w:eastAsia="zh-CN"/>
              </w:rPr>
              <w:t>分；方案不完整得1分；无方案得0分。</w:t>
            </w:r>
          </w:p>
          <w:p>
            <w:pPr>
              <w:keepNext w:val="0"/>
              <w:keepLines w:val="0"/>
              <w:suppressLineNumbers w:val="0"/>
              <w:spacing w:before="0" w:beforeAutospacing="0" w:after="0" w:afterAutospacing="0" w:line="520" w:lineRule="exact"/>
              <w:ind w:left="0" w:right="0"/>
              <w:jc w:val="left"/>
              <w:rPr>
                <w:rFonts w:hint="default"/>
                <w:color w:val="auto"/>
                <w:szCs w:val="20"/>
                <w:highlight w:val="none"/>
                <w:lang w:val="en-US" w:eastAsia="zh-CN"/>
              </w:rPr>
            </w:pPr>
            <w:r>
              <w:rPr>
                <w:rFonts w:hint="default"/>
                <w:color w:val="auto"/>
                <w:szCs w:val="20"/>
                <w:highlight w:val="none"/>
                <w:lang w:val="en-US" w:eastAsia="zh-CN"/>
              </w:rPr>
              <w:t>②有正规、安全、完善的进货渠道</w:t>
            </w:r>
            <w:r>
              <w:rPr>
                <w:rFonts w:hint="eastAsia"/>
                <w:color w:val="auto"/>
                <w:szCs w:val="20"/>
                <w:highlight w:val="none"/>
                <w:lang w:val="en-US" w:eastAsia="zh-CN"/>
              </w:rPr>
              <w:t>（采购</w:t>
            </w:r>
            <w:r>
              <w:rPr>
                <w:rFonts w:hint="default"/>
                <w:color w:val="auto"/>
                <w:szCs w:val="20"/>
                <w:highlight w:val="none"/>
                <w:lang w:val="en-US" w:eastAsia="zh-CN"/>
              </w:rPr>
              <w:t>方案中食材采购标准</w:t>
            </w:r>
            <w:r>
              <w:rPr>
                <w:rFonts w:hint="eastAsia"/>
                <w:color w:val="auto"/>
                <w:szCs w:val="20"/>
                <w:highlight w:val="none"/>
                <w:lang w:val="en-US" w:eastAsia="zh-CN"/>
              </w:rPr>
              <w:t>为依据）</w:t>
            </w:r>
            <w:r>
              <w:rPr>
                <w:rFonts w:hint="default"/>
                <w:color w:val="auto"/>
                <w:szCs w:val="20"/>
                <w:highlight w:val="none"/>
                <w:lang w:val="en-US" w:eastAsia="zh-CN"/>
              </w:rPr>
              <w:t>，每提供一个完整的供货商资质、各类认证证书及签订的协议或合同得1分，最高得5分。</w:t>
            </w:r>
          </w:p>
          <w:p>
            <w:pPr>
              <w:keepNext w:val="0"/>
              <w:keepLines w:val="0"/>
              <w:suppressLineNumbers w:val="0"/>
              <w:spacing w:before="0" w:beforeAutospacing="0" w:after="0" w:afterAutospacing="0" w:line="520" w:lineRule="exact"/>
              <w:ind w:left="0" w:right="0"/>
              <w:jc w:val="left"/>
              <w:rPr>
                <w:rFonts w:hint="default"/>
                <w:color w:val="auto"/>
                <w:szCs w:val="20"/>
                <w:highlight w:val="none"/>
                <w:lang w:val="en-US" w:eastAsia="zh-CN"/>
              </w:rPr>
            </w:pPr>
            <w:r>
              <w:rPr>
                <w:rFonts w:hint="default"/>
                <w:color w:val="auto"/>
                <w:szCs w:val="20"/>
                <w:highlight w:val="none"/>
                <w:lang w:val="en-US" w:eastAsia="zh-CN"/>
              </w:rPr>
              <w:t>③</w:t>
            </w:r>
            <w:r>
              <w:rPr>
                <w:rFonts w:hint="eastAsia"/>
                <w:color w:val="auto"/>
                <w:szCs w:val="20"/>
                <w:highlight w:val="none"/>
                <w:lang w:val="en-US" w:eastAsia="zh-CN"/>
              </w:rPr>
              <w:t>参比人</w:t>
            </w:r>
            <w:r>
              <w:rPr>
                <w:rFonts w:hint="default"/>
                <w:color w:val="auto"/>
                <w:szCs w:val="20"/>
                <w:highlight w:val="none"/>
                <w:lang w:val="en-US" w:eastAsia="zh-CN"/>
              </w:rPr>
              <w:t>有配送点或加工配送中心得0.5分；有冷鲜库得0.5分。</w:t>
            </w:r>
          </w:p>
          <w:p>
            <w:pPr>
              <w:pStyle w:val="14"/>
              <w:keepNext w:val="0"/>
              <w:keepLines w:val="0"/>
              <w:suppressLineNumbers w:val="0"/>
              <w:spacing w:before="0" w:beforeAutospacing="0" w:after="0" w:afterAutospacing="0"/>
              <w:ind w:left="0" w:right="0"/>
              <w:rPr>
                <w:rFonts w:hint="default" w:ascii="Times New Roman" w:hAnsi="Times New Roman" w:eastAsia="方正仿宋_GBK" w:cs="Times New Roman"/>
                <w:color w:val="auto"/>
                <w:kern w:val="2"/>
                <w:sz w:val="24"/>
                <w:szCs w:val="20"/>
                <w:highlight w:val="none"/>
                <w:lang w:val="en-US" w:eastAsia="zh-CN" w:bidi="ar-SA"/>
              </w:rPr>
            </w:pPr>
            <w:r>
              <w:rPr>
                <w:rFonts w:hint="eastAsia" w:ascii="Times New Roman" w:hAnsi="Times New Roman" w:eastAsia="方正仿宋_GBK" w:cs="Times New Roman"/>
                <w:color w:val="auto"/>
                <w:kern w:val="2"/>
                <w:sz w:val="24"/>
                <w:szCs w:val="20"/>
                <w:highlight w:val="none"/>
                <w:lang w:val="en-US" w:eastAsia="zh-CN" w:bidi="ar-SA"/>
              </w:rPr>
              <w:t>（需提供包括但不限于房屋租赁合同、房产证、图片，定位截图复印件加盖鲜章）</w:t>
            </w:r>
          </w:p>
          <w:p>
            <w:pPr>
              <w:keepNext w:val="0"/>
              <w:keepLines w:val="0"/>
              <w:suppressLineNumbers w:val="0"/>
              <w:spacing w:before="0" w:beforeAutospacing="0" w:after="0" w:afterAutospacing="0" w:line="520" w:lineRule="exact"/>
              <w:ind w:left="0" w:right="0"/>
              <w:jc w:val="left"/>
              <w:rPr>
                <w:rFonts w:hint="default"/>
                <w:color w:val="auto"/>
                <w:szCs w:val="20"/>
                <w:highlight w:val="none"/>
                <w:lang w:val="en-US" w:eastAsia="zh-CN"/>
              </w:rPr>
            </w:pPr>
            <w:r>
              <w:rPr>
                <w:rFonts w:hint="default"/>
                <w:color w:val="auto"/>
                <w:szCs w:val="20"/>
                <w:highlight w:val="none"/>
                <w:lang w:val="en-US" w:eastAsia="zh-CN"/>
              </w:rPr>
              <w:t>④</w:t>
            </w:r>
            <w:r>
              <w:rPr>
                <w:rFonts w:hint="eastAsia"/>
                <w:color w:val="auto"/>
                <w:szCs w:val="20"/>
                <w:highlight w:val="none"/>
                <w:lang w:val="en-US" w:eastAsia="zh-CN"/>
              </w:rPr>
              <w:t>参比人</w:t>
            </w:r>
            <w:r>
              <w:rPr>
                <w:rFonts w:hint="default"/>
                <w:color w:val="auto"/>
                <w:szCs w:val="20"/>
                <w:highlight w:val="none"/>
                <w:lang w:val="en-US" w:eastAsia="zh-CN"/>
              </w:rPr>
              <w:t>有专用配送车辆的，每提供1台得0.5分，最高得1分。</w:t>
            </w:r>
          </w:p>
          <w:p>
            <w:pPr>
              <w:pStyle w:val="14"/>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Times New Roman" w:hAnsi="Times New Roman" w:eastAsia="方正仿宋_GBK" w:cs="Times New Roman"/>
                <w:color w:val="auto"/>
                <w:kern w:val="2"/>
                <w:sz w:val="24"/>
                <w:szCs w:val="20"/>
                <w:highlight w:val="none"/>
                <w:lang w:val="en-US" w:eastAsia="zh-CN" w:bidi="ar-SA"/>
              </w:rPr>
              <w:t>（自有机动车需提供购置发票、行驶证和机动车登记证复印件加盖鲜章，若为租赁车辆，需提供租赁合同及行驶证复印件加盖鲜章；若机动车是新购置尚未上户，需提供购买合同、全额或预付款发票复印件加盖鲜章。）</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val="en-US" w:eastAsia="zh-CN"/>
              </w:rPr>
            </w:pPr>
            <w:r>
              <w:rPr>
                <w:rFonts w:hint="eastAsia" w:ascii="方正仿宋_GBK" w:hAnsi="仿宋" w:eastAsia="仿宋" w:cs="仿宋"/>
                <w:color w:val="auto"/>
                <w:kern w:val="0"/>
                <w:szCs w:val="28"/>
                <w:highlight w:val="none"/>
                <w:lang w:val="en-US" w:eastAsia="zh-CN"/>
              </w:rPr>
              <w:t>13</w:t>
            </w: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left"/>
              <w:rPr>
                <w:rFonts w:hint="default" w:ascii="方正仿宋_GBK" w:hAnsi="仿宋" w:eastAsia="仿宋" w:cs="仿宋"/>
                <w:color w:val="auto"/>
                <w:kern w:val="0"/>
                <w:szCs w:val="28"/>
                <w:highlight w:val="none"/>
              </w:rPr>
            </w:pPr>
          </w:p>
        </w:tc>
      </w:tr>
      <w:tr>
        <w:tblPrEx>
          <w:tblCellMar>
            <w:top w:w="0" w:type="dxa"/>
            <w:left w:w="108" w:type="dxa"/>
            <w:bottom w:w="0" w:type="dxa"/>
            <w:right w:w="108" w:type="dxa"/>
          </w:tblCellMar>
        </w:tblPrEx>
        <w:trPr>
          <w:trHeight w:val="1561" w:hRule="atLeast"/>
        </w:trPr>
        <w:tc>
          <w:tcPr>
            <w:tcW w:w="901"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tc>
        <w:tc>
          <w:tcPr>
            <w:tcW w:w="63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2.安全：</w:t>
            </w:r>
          </w:p>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①有完善的安全管理制度和可操作的措施及方法，根据</w:t>
            </w:r>
            <w:r>
              <w:rPr>
                <w:rFonts w:hint="eastAsia" w:ascii="方正仿宋_GBK" w:hAnsi="仿宋" w:eastAsia="仿宋" w:cs="仿宋"/>
                <w:color w:val="auto"/>
                <w:kern w:val="0"/>
                <w:szCs w:val="28"/>
                <w:highlight w:val="none"/>
                <w:lang w:val="en-US" w:eastAsia="zh-CN"/>
              </w:rPr>
              <w:t>参比人</w:t>
            </w:r>
            <w:r>
              <w:rPr>
                <w:rFonts w:hint="default" w:ascii="方正仿宋_GBK" w:hAnsi="仿宋" w:eastAsia="仿宋" w:cs="仿宋"/>
                <w:color w:val="auto"/>
                <w:kern w:val="0"/>
                <w:szCs w:val="28"/>
                <w:highlight w:val="none"/>
                <w:lang w:val="en-US" w:eastAsia="zh-CN"/>
              </w:rPr>
              <w:t>提供的食品安全管理方案和质量管理方案的针对性、可行性进行评审（包括消防安全、食品安全、人员安全、设备安全、应急处置安全等情况进行分别制定）：方案针对性强、可行性高，内容完整、操作性强得</w:t>
            </w:r>
            <w:r>
              <w:rPr>
                <w:rFonts w:hint="eastAsia" w:ascii="方正仿宋_GBK" w:hAnsi="仿宋" w:eastAsia="仿宋" w:cs="仿宋"/>
                <w:color w:val="auto"/>
                <w:kern w:val="0"/>
                <w:szCs w:val="28"/>
                <w:highlight w:val="none"/>
                <w:lang w:val="en-US" w:eastAsia="zh-CN"/>
              </w:rPr>
              <w:t>10</w:t>
            </w:r>
            <w:r>
              <w:rPr>
                <w:rFonts w:hint="default" w:ascii="方正仿宋_GBK" w:hAnsi="仿宋" w:eastAsia="仿宋" w:cs="仿宋"/>
                <w:color w:val="auto"/>
                <w:kern w:val="0"/>
                <w:szCs w:val="28"/>
                <w:highlight w:val="none"/>
                <w:lang w:val="en-US" w:eastAsia="zh-CN"/>
              </w:rPr>
              <w:t>分；方案内容较完整、科学有效，有较好操作性得</w:t>
            </w:r>
            <w:r>
              <w:rPr>
                <w:rFonts w:hint="eastAsia" w:ascii="方正仿宋_GBK" w:hAnsi="仿宋" w:eastAsia="仿宋" w:cs="仿宋"/>
                <w:color w:val="auto"/>
                <w:kern w:val="0"/>
                <w:szCs w:val="28"/>
                <w:highlight w:val="none"/>
                <w:lang w:val="en-US" w:eastAsia="zh-CN"/>
              </w:rPr>
              <w:t>6</w:t>
            </w:r>
            <w:r>
              <w:rPr>
                <w:rFonts w:hint="default" w:ascii="方正仿宋_GBK" w:hAnsi="仿宋" w:eastAsia="仿宋" w:cs="仿宋"/>
                <w:color w:val="auto"/>
                <w:kern w:val="0"/>
                <w:szCs w:val="28"/>
                <w:highlight w:val="none"/>
                <w:lang w:val="en-US" w:eastAsia="zh-CN"/>
              </w:rPr>
              <w:t>分；方案不完整得</w:t>
            </w:r>
            <w:r>
              <w:rPr>
                <w:rFonts w:hint="eastAsia" w:ascii="方正仿宋_GBK" w:hAnsi="仿宋" w:eastAsia="仿宋" w:cs="仿宋"/>
                <w:color w:val="auto"/>
                <w:kern w:val="0"/>
                <w:szCs w:val="28"/>
                <w:highlight w:val="none"/>
                <w:lang w:val="en-US" w:eastAsia="zh-CN"/>
              </w:rPr>
              <w:t>3</w:t>
            </w:r>
            <w:r>
              <w:rPr>
                <w:rFonts w:hint="default" w:ascii="方正仿宋_GBK" w:hAnsi="仿宋" w:eastAsia="仿宋" w:cs="仿宋"/>
                <w:color w:val="auto"/>
                <w:kern w:val="0"/>
                <w:szCs w:val="28"/>
                <w:highlight w:val="none"/>
                <w:lang w:val="en-US" w:eastAsia="zh-CN"/>
              </w:rPr>
              <w:t>分；无方案得0分。</w:t>
            </w:r>
          </w:p>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②</w:t>
            </w:r>
            <w:r>
              <w:rPr>
                <w:rFonts w:hint="eastAsia" w:ascii="方正仿宋_GBK" w:hAnsi="仿宋" w:eastAsia="仿宋" w:cs="仿宋"/>
                <w:color w:val="auto"/>
                <w:kern w:val="0"/>
                <w:szCs w:val="28"/>
                <w:highlight w:val="none"/>
                <w:lang w:val="en-US" w:eastAsia="zh-CN"/>
              </w:rPr>
              <w:t>参比人</w:t>
            </w:r>
            <w:r>
              <w:rPr>
                <w:rFonts w:hint="default" w:ascii="方正仿宋_GBK" w:hAnsi="仿宋" w:eastAsia="仿宋" w:cs="仿宋"/>
                <w:color w:val="auto"/>
                <w:kern w:val="0"/>
                <w:szCs w:val="28"/>
                <w:highlight w:val="none"/>
                <w:lang w:val="en-US" w:eastAsia="zh-CN"/>
              </w:rPr>
              <w:t>使用租赁、购买或开发的食品追溯系统的得3分。（需提供租赁、购买协议或著作权登记证等）</w:t>
            </w:r>
          </w:p>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③</w:t>
            </w:r>
            <w:r>
              <w:rPr>
                <w:rFonts w:hint="eastAsia" w:ascii="方正仿宋_GBK" w:hAnsi="仿宋" w:eastAsia="仿宋" w:cs="仿宋"/>
                <w:color w:val="auto"/>
                <w:kern w:val="0"/>
                <w:szCs w:val="28"/>
                <w:highlight w:val="none"/>
                <w:lang w:val="en-US" w:eastAsia="zh-CN"/>
              </w:rPr>
              <w:t>参比人</w:t>
            </w:r>
            <w:r>
              <w:rPr>
                <w:rFonts w:hint="default" w:ascii="方正仿宋_GBK" w:hAnsi="仿宋" w:eastAsia="仿宋" w:cs="仿宋"/>
                <w:color w:val="auto"/>
                <w:kern w:val="0"/>
                <w:szCs w:val="28"/>
                <w:highlight w:val="none"/>
                <w:lang w:val="en-US" w:eastAsia="zh-CN"/>
              </w:rPr>
              <w:t>提供食品安全检测仪的，每提供1台得1分，最高得2分</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val="en-US" w:eastAsia="zh-CN"/>
              </w:rPr>
            </w:pPr>
            <w:r>
              <w:rPr>
                <w:rFonts w:hint="eastAsia" w:ascii="方正仿宋_GBK" w:hAnsi="仿宋" w:eastAsia="仿宋" w:cs="仿宋"/>
                <w:color w:val="auto"/>
                <w:kern w:val="0"/>
                <w:szCs w:val="28"/>
                <w:highlight w:val="none"/>
                <w:lang w:val="en-US" w:eastAsia="zh-CN"/>
              </w:rPr>
              <w:t>15</w:t>
            </w: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left"/>
              <w:rPr>
                <w:rFonts w:hint="default" w:ascii="方正仿宋_GBK" w:hAnsi="仿宋" w:eastAsia="仿宋" w:cs="仿宋"/>
                <w:color w:val="auto"/>
                <w:kern w:val="0"/>
                <w:szCs w:val="28"/>
                <w:highlight w:val="none"/>
              </w:rPr>
            </w:pPr>
          </w:p>
        </w:tc>
      </w:tr>
      <w:tr>
        <w:tblPrEx>
          <w:tblCellMar>
            <w:top w:w="0" w:type="dxa"/>
            <w:left w:w="108" w:type="dxa"/>
            <w:bottom w:w="0" w:type="dxa"/>
            <w:right w:w="108" w:type="dxa"/>
          </w:tblCellMar>
        </w:tblPrEx>
        <w:trPr>
          <w:trHeight w:val="2137" w:hRule="atLeast"/>
        </w:trPr>
        <w:tc>
          <w:tcPr>
            <w:tcW w:w="90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tc>
        <w:tc>
          <w:tcPr>
            <w:tcW w:w="89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rPr>
            </w:pPr>
            <w:r>
              <w:rPr>
                <w:rFonts w:hint="default" w:ascii="方正仿宋_GBK" w:hAnsi="仿宋" w:eastAsia="仿宋" w:cs="仿宋"/>
                <w:color w:val="auto"/>
                <w:kern w:val="0"/>
                <w:szCs w:val="28"/>
                <w:highlight w:val="none"/>
              </w:rPr>
              <w:t>（</w:t>
            </w:r>
            <w:r>
              <w:rPr>
                <w:rFonts w:hint="default" w:ascii="方正仿宋_GBK" w:hAnsi="仿宋" w:eastAsia="仿宋" w:cs="仿宋"/>
                <w:color w:val="auto"/>
                <w:kern w:val="0"/>
                <w:szCs w:val="28"/>
                <w:highlight w:val="none"/>
                <w:lang w:eastAsia="zh-CN"/>
              </w:rPr>
              <w:t>三</w:t>
            </w:r>
            <w:r>
              <w:rPr>
                <w:rFonts w:hint="default" w:ascii="方正仿宋_GBK" w:hAnsi="仿宋" w:eastAsia="仿宋" w:cs="仿宋"/>
                <w:color w:val="auto"/>
                <w:kern w:val="0"/>
                <w:szCs w:val="28"/>
                <w:highlight w:val="none"/>
              </w:rPr>
              <w:t>）</w:t>
            </w:r>
            <w:r>
              <w:rPr>
                <w:rFonts w:hint="default" w:ascii="方正仿宋_GBK" w:hAnsi="仿宋" w:eastAsia="仿宋" w:cs="仿宋"/>
                <w:color w:val="auto"/>
                <w:kern w:val="0"/>
                <w:szCs w:val="28"/>
                <w:highlight w:val="none"/>
                <w:lang w:eastAsia="zh-CN"/>
              </w:rPr>
              <w:t>企业实力</w:t>
            </w:r>
            <w:r>
              <w:rPr>
                <w:rFonts w:hint="default" w:ascii="方正仿宋_GBK" w:hAnsi="仿宋" w:eastAsia="仿宋" w:cs="仿宋"/>
                <w:color w:val="auto"/>
                <w:kern w:val="0"/>
                <w:szCs w:val="28"/>
                <w:highlight w:val="none"/>
                <w:lang w:val="en-US" w:eastAsia="zh-CN"/>
              </w:rPr>
              <w:t xml:space="preserve">  </w:t>
            </w:r>
            <w:r>
              <w:rPr>
                <w:rFonts w:hint="default"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val="en-US" w:eastAsia="zh-CN"/>
              </w:rPr>
              <w:t>5</w:t>
            </w:r>
            <w:r>
              <w:rPr>
                <w:rFonts w:hint="default" w:ascii="方正仿宋_GBK" w:hAnsi="仿宋" w:eastAsia="仿宋" w:cs="仿宋"/>
                <w:color w:val="auto"/>
                <w:kern w:val="0"/>
                <w:szCs w:val="28"/>
                <w:highlight w:val="none"/>
                <w:lang w:val="en-US" w:eastAsia="zh-CN"/>
              </w:rPr>
              <w:t>分</w:t>
            </w:r>
            <w:r>
              <w:rPr>
                <w:rFonts w:hint="eastAsia" w:ascii="方正仿宋_GBK" w:hAnsi="仿宋" w:eastAsia="仿宋" w:cs="仿宋"/>
                <w:color w:val="auto"/>
                <w:kern w:val="0"/>
                <w:szCs w:val="28"/>
                <w:highlight w:val="none"/>
                <w:lang w:val="en-US" w:eastAsia="zh-CN"/>
              </w:rPr>
              <w:t>）</w:t>
            </w:r>
          </w:p>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p>
            <w:pPr>
              <w:keepNext w:val="0"/>
              <w:keepLines w:val="0"/>
              <w:suppressLineNumbers w:val="0"/>
              <w:spacing w:before="0" w:beforeAutospacing="0" w:after="0" w:afterAutospacing="0" w:line="520" w:lineRule="exact"/>
              <w:ind w:left="0" w:right="0" w:firstLine="438" w:firstLineChars="200"/>
              <w:jc w:val="center"/>
              <w:rPr>
                <w:rFonts w:hint="default" w:ascii="方正仿宋_GBK" w:hAnsi="仿宋" w:eastAsia="仿宋" w:cs="仿宋"/>
                <w:color w:val="auto"/>
                <w:kern w:val="0"/>
                <w:szCs w:val="28"/>
                <w:highlight w:val="none"/>
              </w:rPr>
            </w:pPr>
          </w:p>
        </w:tc>
        <w:tc>
          <w:tcPr>
            <w:tcW w:w="63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1.食堂管理机构设置合理、人员配置充足，工作职责明确：管理机构设置合理、人员配置充足，工作职责明确得5分；管理机构设置较合理、人员配置较充足，工作职责较明确3分；管理机构设置不合理、人员配置不充足，工作职责不明确得1分；未提供得0分。</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219" w:firstLineChars="10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left"/>
              <w:rPr>
                <w:rFonts w:hint="default" w:ascii="方正仿宋_GBK" w:hAnsi="仿宋" w:eastAsia="仿宋" w:cs="仿宋"/>
                <w:color w:val="auto"/>
                <w:kern w:val="0"/>
                <w:szCs w:val="28"/>
                <w:highlight w:val="none"/>
              </w:rPr>
            </w:pPr>
          </w:p>
        </w:tc>
      </w:tr>
      <w:tr>
        <w:tblPrEx>
          <w:tblCellMar>
            <w:top w:w="0" w:type="dxa"/>
            <w:left w:w="108" w:type="dxa"/>
            <w:bottom w:w="0" w:type="dxa"/>
            <w:right w:w="108" w:type="dxa"/>
          </w:tblCellMar>
        </w:tblPrEx>
        <w:trPr>
          <w:trHeight w:val="1260" w:hRule="atLeast"/>
        </w:trPr>
        <w:tc>
          <w:tcPr>
            <w:tcW w:w="9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rPr>
            </w:pPr>
            <w:r>
              <w:rPr>
                <w:rFonts w:hint="default" w:ascii="方正仿宋_GBK" w:hAnsi="仿宋" w:eastAsia="仿宋" w:cs="仿宋"/>
                <w:color w:val="auto"/>
                <w:kern w:val="0"/>
                <w:szCs w:val="28"/>
                <w:highlight w:val="none"/>
                <w:lang w:eastAsia="zh-CN"/>
              </w:rPr>
              <w:t>三</w:t>
            </w:r>
            <w:r>
              <w:rPr>
                <w:rFonts w:hint="default" w:ascii="方正仿宋_GBK" w:hAnsi="仿宋" w:eastAsia="仿宋" w:cs="仿宋"/>
                <w:color w:val="auto"/>
                <w:kern w:val="0"/>
                <w:szCs w:val="28"/>
                <w:highlight w:val="none"/>
              </w:rPr>
              <w:t>、商务部分</w:t>
            </w:r>
          </w:p>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（2分</w:t>
            </w:r>
            <w:r>
              <w:rPr>
                <w:rFonts w:hint="default" w:ascii="方正仿宋_GBK" w:hAnsi="仿宋" w:eastAsia="仿宋" w:cs="仿宋"/>
                <w:color w:val="auto"/>
                <w:kern w:val="0"/>
                <w:szCs w:val="28"/>
                <w:highlight w:val="none"/>
              </w:rPr>
              <w:t>）</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center"/>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eastAsia="zh-CN"/>
              </w:rPr>
              <w:t>业绩</w:t>
            </w:r>
            <w:r>
              <w:rPr>
                <w:rFonts w:hint="default" w:ascii="方正仿宋_GBK" w:hAnsi="仿宋" w:eastAsia="仿宋" w:cs="仿宋"/>
                <w:color w:val="auto"/>
                <w:kern w:val="0"/>
                <w:szCs w:val="28"/>
                <w:highlight w:val="none"/>
                <w:lang w:val="en-US" w:eastAsia="zh-CN"/>
              </w:rPr>
              <w:t>（</w:t>
            </w:r>
            <w:r>
              <w:rPr>
                <w:rFonts w:hint="eastAsia" w:ascii="方正仿宋_GBK" w:hAnsi="仿宋" w:eastAsia="仿宋" w:cs="仿宋"/>
                <w:color w:val="auto"/>
                <w:kern w:val="0"/>
                <w:szCs w:val="28"/>
                <w:highlight w:val="none"/>
                <w:lang w:val="en-US" w:eastAsia="zh-CN"/>
              </w:rPr>
              <w:t>2</w:t>
            </w:r>
            <w:r>
              <w:rPr>
                <w:rFonts w:hint="default" w:ascii="方正仿宋_GBK" w:hAnsi="仿宋" w:eastAsia="仿宋" w:cs="仿宋"/>
                <w:color w:val="auto"/>
                <w:kern w:val="0"/>
                <w:szCs w:val="28"/>
                <w:highlight w:val="none"/>
                <w:lang w:val="en-US" w:eastAsia="zh-CN"/>
              </w:rPr>
              <w:t>分）</w:t>
            </w:r>
          </w:p>
        </w:tc>
        <w:tc>
          <w:tcPr>
            <w:tcW w:w="63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供应商提供近三年来餐饮服务项目（含正在实施），每1份业绩得1分，本项最高得2分</w:t>
            </w:r>
            <w:r>
              <w:rPr>
                <w:rFonts w:hint="eastAsia" w:ascii="方正仿宋_GBK" w:hAnsi="仿宋" w:eastAsia="仿宋" w:cs="仿宋"/>
                <w:color w:val="auto"/>
                <w:kern w:val="0"/>
                <w:szCs w:val="28"/>
                <w:highlight w:val="none"/>
                <w:lang w:val="en-US" w:eastAsia="zh-CN"/>
              </w:rPr>
              <w:t>，需提供服务单位考核情况并盖章</w:t>
            </w:r>
            <w:r>
              <w:rPr>
                <w:rFonts w:hint="default" w:ascii="方正仿宋_GBK" w:hAnsi="仿宋" w:eastAsia="仿宋" w:cs="仿宋"/>
                <w:color w:val="auto"/>
                <w:kern w:val="0"/>
                <w:szCs w:val="28"/>
                <w:highlight w:val="none"/>
                <w:lang w:val="en-US"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219" w:firstLineChars="100"/>
              <w:jc w:val="left"/>
              <w:rPr>
                <w:rFonts w:hint="default" w:ascii="方正仿宋_GBK" w:hAnsi="仿宋" w:eastAsia="仿宋" w:cs="仿宋"/>
                <w:color w:val="auto"/>
                <w:kern w:val="0"/>
                <w:szCs w:val="28"/>
                <w:highlight w:val="none"/>
                <w:lang w:val="en-US" w:eastAsia="zh-CN"/>
              </w:rPr>
            </w:pPr>
            <w:r>
              <w:rPr>
                <w:rFonts w:hint="default" w:ascii="方正仿宋_GBK" w:hAnsi="仿宋" w:eastAsia="仿宋" w:cs="仿宋"/>
                <w:color w:val="auto"/>
                <w:kern w:val="0"/>
                <w:szCs w:val="28"/>
                <w:highlight w:val="none"/>
                <w:lang w:val="en-US" w:eastAsia="zh-CN"/>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firstLine="438" w:firstLineChars="200"/>
              <w:jc w:val="left"/>
              <w:rPr>
                <w:rFonts w:hint="default" w:ascii="方正仿宋_GBK" w:hAnsi="仿宋" w:eastAsia="仿宋" w:cs="仿宋"/>
                <w:color w:val="auto"/>
                <w:kern w:val="0"/>
                <w:szCs w:val="28"/>
                <w:highlight w:val="none"/>
                <w:lang w:val="en-US" w:eastAsia="zh-CN"/>
              </w:rPr>
            </w:pPr>
          </w:p>
        </w:tc>
      </w:tr>
    </w:tbl>
    <w:p>
      <w:pPr>
        <w:spacing w:line="520" w:lineRule="exact"/>
        <w:ind w:firstLine="438" w:firstLineChars="200"/>
        <w:jc w:val="left"/>
        <w:rPr>
          <w:rFonts w:hint="eastAsia" w:ascii="方正仿宋_GBK" w:hAnsi="仿宋" w:eastAsia="仿宋" w:cs="仿宋"/>
          <w:color w:val="auto"/>
          <w:kern w:val="0"/>
          <w:szCs w:val="28"/>
          <w:highlight w:val="none"/>
          <w:lang w:val="en-US" w:eastAsia="zh-CN"/>
        </w:rPr>
      </w:pPr>
      <w:r>
        <w:rPr>
          <w:rFonts w:hint="eastAsia" w:ascii="方正仿宋_GBK" w:hAnsi="仿宋" w:eastAsia="仿宋" w:cs="仿宋"/>
          <w:color w:val="auto"/>
          <w:kern w:val="0"/>
          <w:szCs w:val="28"/>
          <w:highlight w:val="none"/>
          <w:lang w:val="en-US" w:eastAsia="zh-CN"/>
        </w:rPr>
        <w:t>备注：1.参比人凡提供虚假证明者一经查实，立即取消中选资格。</w:t>
      </w:r>
    </w:p>
    <w:p>
      <w:pPr>
        <w:spacing w:line="520" w:lineRule="exact"/>
        <w:ind w:firstLine="1095" w:firstLineChars="500"/>
        <w:jc w:val="left"/>
        <w:rPr>
          <w:rFonts w:hint="eastAsia" w:eastAsia="仿宋" w:cs="宋体"/>
          <w:b/>
          <w:bCs/>
          <w:color w:val="auto"/>
          <w:szCs w:val="28"/>
          <w:highlight w:val="none"/>
        </w:rPr>
      </w:pPr>
      <w:r>
        <w:rPr>
          <w:rFonts w:hint="eastAsia" w:ascii="方正仿宋_GBK" w:hAnsi="仿宋" w:eastAsia="仿宋" w:cs="仿宋"/>
          <w:color w:val="auto"/>
          <w:kern w:val="0"/>
          <w:szCs w:val="28"/>
          <w:highlight w:val="none"/>
          <w:lang w:val="en-US" w:eastAsia="zh-CN"/>
        </w:rPr>
        <w:t>2.参比人在投标文件内提出的方案无法落实的，立即取消中选资格</w:t>
      </w:r>
    </w:p>
    <w:p>
      <w:pPr>
        <w:spacing w:before="156" w:after="156" w:line="520" w:lineRule="exact"/>
        <w:ind w:firstLine="438" w:firstLineChars="200"/>
        <w:jc w:val="left"/>
        <w:outlineLvl w:val="1"/>
        <w:rPr>
          <w:rFonts w:eastAsia="仿宋" w:cs="宋体"/>
          <w:b/>
          <w:bCs/>
          <w:color w:val="auto"/>
          <w:szCs w:val="28"/>
          <w:highlight w:val="none"/>
        </w:rPr>
      </w:pPr>
      <w:r>
        <w:rPr>
          <w:rFonts w:hint="eastAsia" w:eastAsia="仿宋" w:cs="宋体"/>
          <w:b/>
          <w:bCs/>
          <w:color w:val="auto"/>
          <w:szCs w:val="28"/>
          <w:highlight w:val="none"/>
        </w:rPr>
        <w:t>三、无效响应</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520" w:lineRule="exact"/>
        <w:ind w:firstLine="438" w:firstLineChars="200"/>
        <w:jc w:val="left"/>
        <w:rPr>
          <w:rFonts w:ascii="方正仿宋_GBK" w:hAnsi="仿宋" w:eastAsia="仿宋" w:cs="仿宋"/>
          <w:color w:val="auto"/>
          <w:kern w:val="0"/>
          <w:szCs w:val="28"/>
          <w:highlight w:val="none"/>
        </w:rPr>
      </w:pPr>
      <w:bookmarkStart w:id="449" w:name="_Toc493506302"/>
      <w:bookmarkStart w:id="450" w:name="_Toc495592658"/>
      <w:bookmarkStart w:id="451" w:name="_Toc492721019"/>
      <w:r>
        <w:rPr>
          <w:rFonts w:hint="eastAsia" w:ascii="方正仿宋_GBK" w:hAnsi="仿宋" w:eastAsia="仿宋" w:cs="仿宋"/>
          <w:color w:val="auto"/>
          <w:kern w:val="0"/>
          <w:szCs w:val="28"/>
          <w:highlight w:val="none"/>
        </w:rPr>
        <w:t>供应商发生以下条款情况之一者，为无效响应，其响应文件将被拒绝：</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（一）供应商不符合规定的资格条件的；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（二）供应商的法定代表人（或其授权代表）或自然人未参加</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bookmarkStart w:id="452" w:name="_Hlk84856470"/>
      <w:r>
        <w:rPr>
          <w:rFonts w:hint="eastAsia" w:ascii="方正仿宋_GBK" w:hAnsi="仿宋" w:eastAsia="仿宋" w:cs="仿宋"/>
          <w:color w:val="auto"/>
          <w:kern w:val="0"/>
          <w:szCs w:val="28"/>
          <w:highlight w:val="none"/>
        </w:rPr>
        <w:t>供应商所提交的响应文件</w:t>
      </w:r>
      <w:bookmarkEnd w:id="452"/>
      <w:r>
        <w:rPr>
          <w:rFonts w:hint="eastAsia" w:ascii="方正仿宋_GBK" w:hAnsi="仿宋" w:eastAsia="仿宋" w:cs="仿宋"/>
          <w:color w:val="auto"/>
          <w:kern w:val="0"/>
          <w:szCs w:val="28"/>
          <w:highlight w:val="none"/>
        </w:rPr>
        <w:t>不按</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文件规定签字、盖章；</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四</w:t>
      </w:r>
      <w:r>
        <w:rPr>
          <w:rFonts w:hint="eastAsia" w:ascii="方正仿宋_GBK" w:hAnsi="仿宋" w:eastAsia="仿宋" w:cs="仿宋"/>
          <w:color w:val="auto"/>
          <w:kern w:val="0"/>
          <w:szCs w:val="28"/>
          <w:highlight w:val="none"/>
        </w:rPr>
        <w:t>）</w:t>
      </w:r>
      <w:bookmarkStart w:id="453" w:name="_Hlk84856597"/>
      <w:r>
        <w:rPr>
          <w:rFonts w:hint="eastAsia" w:ascii="方正仿宋_GBK" w:hAnsi="仿宋" w:eastAsia="仿宋" w:cs="仿宋"/>
          <w:color w:val="auto"/>
          <w:kern w:val="0"/>
          <w:szCs w:val="28"/>
          <w:highlight w:val="none"/>
        </w:rPr>
        <w:t>单位负责人为同一人或者存在直接控股、管理关系的不同供应商，参加同一合同项下的政府采购活动的；</w:t>
      </w:r>
      <w:bookmarkEnd w:id="453"/>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五</w:t>
      </w:r>
      <w:r>
        <w:rPr>
          <w:rFonts w:hint="eastAsia" w:ascii="方正仿宋_GBK" w:hAnsi="仿宋" w:eastAsia="仿宋" w:cs="仿宋"/>
          <w:color w:val="auto"/>
          <w:kern w:val="0"/>
          <w:szCs w:val="28"/>
          <w:highlight w:val="none"/>
        </w:rPr>
        <w:t>）为采购项目提供整体设计、规范编制或者项目管理、监理、检测等服务的供应商，再参加该采购项目的其他采购活动；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六</w:t>
      </w:r>
      <w:r>
        <w:rPr>
          <w:rFonts w:hint="eastAsia" w:ascii="方正仿宋_GBK" w:hAnsi="仿宋" w:eastAsia="仿宋" w:cs="仿宋"/>
          <w:color w:val="auto"/>
          <w:kern w:val="0"/>
          <w:szCs w:val="28"/>
          <w:highlight w:val="none"/>
        </w:rPr>
        <w:t>）供应商</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有效期不满足</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文件要求的；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七</w:t>
      </w:r>
      <w:r>
        <w:rPr>
          <w:rFonts w:hint="eastAsia" w:ascii="方正仿宋_GBK" w:hAnsi="仿宋" w:eastAsia="仿宋" w:cs="仿宋"/>
          <w:color w:val="auto"/>
          <w:kern w:val="0"/>
          <w:szCs w:val="28"/>
          <w:highlight w:val="none"/>
        </w:rPr>
        <w:t>）供应商组成联合体响应的（</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文件载明不接受联合体时适用）；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八</w:t>
      </w:r>
      <w:r>
        <w:rPr>
          <w:rFonts w:hint="eastAsia" w:ascii="方正仿宋_GBK" w:hAnsi="仿宋" w:eastAsia="仿宋" w:cs="仿宋"/>
          <w:color w:val="auto"/>
          <w:kern w:val="0"/>
          <w:szCs w:val="28"/>
          <w:highlight w:val="none"/>
        </w:rPr>
        <w:t>）供应商响应文件内容有与国家现行法律法规相违背的内容，或附有采购人无法接受的条件。</w:t>
      </w:r>
    </w:p>
    <w:p>
      <w:pPr>
        <w:snapToGrid w:val="0"/>
        <w:spacing w:line="400" w:lineRule="exact"/>
        <w:ind w:firstLine="465"/>
        <w:rPr>
          <w:rFonts w:ascii="方正仿宋_GBK" w:hAnsi="宋体"/>
          <w:color w:val="auto"/>
          <w:szCs w:val="24"/>
          <w:highlight w:val="none"/>
        </w:rPr>
      </w:pPr>
      <w:r>
        <w:rPr>
          <w:rFonts w:hint="eastAsia" w:ascii="方正仿宋_GBK" w:hAnsi="宋体"/>
          <w:color w:val="auto"/>
          <w:szCs w:val="24"/>
          <w:highlight w:val="none"/>
        </w:rPr>
        <w:t>（</w:t>
      </w:r>
      <w:r>
        <w:rPr>
          <w:rFonts w:hint="eastAsia" w:ascii="方正仿宋_GBK" w:hAnsi="宋体"/>
          <w:color w:val="auto"/>
          <w:szCs w:val="24"/>
          <w:highlight w:val="none"/>
          <w:lang w:eastAsia="zh-CN"/>
        </w:rPr>
        <w:t>九</w:t>
      </w:r>
      <w:r>
        <w:rPr>
          <w:rFonts w:hint="eastAsia" w:ascii="方正仿宋_GBK" w:hAnsi="宋体"/>
          <w:color w:val="auto"/>
          <w:szCs w:val="24"/>
          <w:highlight w:val="none"/>
        </w:rPr>
        <w:t>）法律、法规和</w:t>
      </w:r>
      <w:r>
        <w:rPr>
          <w:rFonts w:hint="eastAsia" w:ascii="方正仿宋_GBK" w:hAnsi="宋体"/>
          <w:color w:val="auto"/>
          <w:szCs w:val="24"/>
          <w:highlight w:val="none"/>
          <w:lang w:eastAsia="zh-CN"/>
        </w:rPr>
        <w:t>比选</w:t>
      </w:r>
      <w:r>
        <w:rPr>
          <w:rFonts w:hint="eastAsia" w:ascii="方正仿宋_GBK" w:hAnsi="宋体"/>
          <w:color w:val="auto"/>
          <w:szCs w:val="24"/>
          <w:highlight w:val="none"/>
        </w:rPr>
        <w:t>文件规定的其他无效情形。</w:t>
      </w:r>
    </w:p>
    <w:p>
      <w:pPr>
        <w:spacing w:before="156" w:after="156" w:line="520" w:lineRule="exact"/>
        <w:ind w:firstLine="438" w:firstLineChars="200"/>
        <w:jc w:val="left"/>
        <w:outlineLvl w:val="1"/>
        <w:rPr>
          <w:rFonts w:eastAsia="仿宋" w:cs="宋体"/>
          <w:b/>
          <w:bCs/>
          <w:color w:val="auto"/>
          <w:szCs w:val="28"/>
          <w:highlight w:val="none"/>
        </w:rPr>
      </w:pPr>
      <w:bookmarkStart w:id="454" w:name="_Toc17719"/>
      <w:bookmarkStart w:id="455" w:name="_Toc938"/>
      <w:bookmarkStart w:id="456" w:name="_Toc26852"/>
      <w:bookmarkStart w:id="457" w:name="_Toc8228"/>
      <w:bookmarkStart w:id="458" w:name="_Toc28569"/>
      <w:bookmarkStart w:id="459" w:name="_Toc28559"/>
      <w:bookmarkStart w:id="460" w:name="_Toc8728"/>
      <w:bookmarkStart w:id="461" w:name="_Toc18935"/>
      <w:bookmarkStart w:id="462" w:name="_Toc7367"/>
      <w:bookmarkStart w:id="463" w:name="_Toc11565"/>
      <w:bookmarkStart w:id="464" w:name="_Toc15957"/>
      <w:bookmarkStart w:id="465" w:name="_Toc11445"/>
      <w:bookmarkStart w:id="466" w:name="_Toc21144"/>
      <w:bookmarkStart w:id="467" w:name="_Toc7917"/>
      <w:bookmarkStart w:id="468" w:name="_Toc65512154"/>
      <w:bookmarkStart w:id="469" w:name="_Toc26329"/>
      <w:bookmarkStart w:id="470" w:name="_Toc9753"/>
      <w:bookmarkStart w:id="471" w:name="_Toc10520"/>
      <w:bookmarkStart w:id="472" w:name="_Toc3785"/>
      <w:bookmarkStart w:id="473" w:name="_Toc16889"/>
      <w:bookmarkStart w:id="474" w:name="_Toc1197"/>
      <w:bookmarkStart w:id="475" w:name="_Toc17334"/>
      <w:bookmarkStart w:id="476" w:name="_Toc48837319"/>
      <w:bookmarkStart w:id="477" w:name="_Toc11451"/>
      <w:bookmarkStart w:id="478" w:name="_Toc29713"/>
      <w:bookmarkStart w:id="479" w:name="_Toc2147"/>
      <w:bookmarkStart w:id="480" w:name="_Toc19464"/>
      <w:bookmarkStart w:id="481" w:name="_Toc29865"/>
      <w:r>
        <w:rPr>
          <w:rFonts w:hint="eastAsia" w:eastAsia="仿宋" w:cs="宋体"/>
          <w:b/>
          <w:bCs/>
          <w:color w:val="auto"/>
          <w:szCs w:val="28"/>
          <w:highlight w:val="none"/>
        </w:rPr>
        <w:t>四、</w:t>
      </w:r>
      <w:bookmarkEnd w:id="449"/>
      <w:bookmarkEnd w:id="450"/>
      <w:bookmarkEnd w:id="451"/>
      <w:r>
        <w:rPr>
          <w:rFonts w:hint="eastAsia" w:eastAsia="仿宋" w:cs="宋体"/>
          <w:b/>
          <w:bCs/>
          <w:color w:val="auto"/>
          <w:szCs w:val="28"/>
          <w:highlight w:val="none"/>
        </w:rPr>
        <w:t>采购终止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出现下列情形之一的，采购人或者采购代理机构应当终止</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采购活动，发布项目终止公告并说明原因，重新开展采购活动：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（一）因情况变化，不再符合规定的</w:t>
      </w:r>
      <w:r>
        <w:rPr>
          <w:rFonts w:hint="eastAsia" w:ascii="方正仿宋_GBK" w:hAnsi="仿宋" w:eastAsia="仿宋" w:cs="仿宋"/>
          <w:color w:val="auto"/>
          <w:kern w:val="0"/>
          <w:szCs w:val="28"/>
          <w:highlight w:val="none"/>
          <w:lang w:eastAsia="zh-CN"/>
        </w:rPr>
        <w:t>该</w:t>
      </w:r>
      <w:r>
        <w:rPr>
          <w:rFonts w:hint="eastAsia" w:ascii="方正仿宋_GBK" w:hAnsi="仿宋" w:eastAsia="仿宋" w:cs="仿宋"/>
          <w:color w:val="auto"/>
          <w:kern w:val="0"/>
          <w:szCs w:val="28"/>
          <w:highlight w:val="none"/>
        </w:rPr>
        <w:t>采购方式适用情形的；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（二）出现影响采购公正的违法、违规行为的；</w:t>
      </w:r>
    </w:p>
    <w:p>
      <w:pPr>
        <w:spacing w:line="520" w:lineRule="exact"/>
        <w:ind w:firstLine="438" w:firstLineChars="200"/>
        <w:jc w:val="left"/>
        <w:rPr>
          <w:rFonts w:ascii="方正仿宋_GBK" w:hAnsi="仿宋" w:eastAsia="仿宋" w:cs="仿宋"/>
          <w:color w:val="auto"/>
          <w:kern w:val="0"/>
          <w:szCs w:val="28"/>
          <w:highlight w:val="none"/>
        </w:rPr>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93" w:charSpace="-4325"/>
        </w:sectPr>
      </w:pPr>
      <w:r>
        <w:rPr>
          <w:rFonts w:hint="eastAsia" w:ascii="方正仿宋_GBK" w:hAnsi="仿宋" w:eastAsia="仿宋" w:cs="仿宋"/>
          <w:color w:val="auto"/>
          <w:kern w:val="0"/>
          <w:szCs w:val="28"/>
          <w:highlight w:val="none"/>
        </w:rPr>
        <w:t>（三）在采购过程中符合要求的供应商不足3家的。</w:t>
      </w:r>
    </w:p>
    <w:bookmarkEnd w:id="448"/>
    <w:p>
      <w:pPr>
        <w:pStyle w:val="3"/>
        <w:numPr>
          <w:ilvl w:val="0"/>
          <w:numId w:val="0"/>
        </w:numPr>
        <w:tabs>
          <w:tab w:val="clear" w:pos="3360"/>
        </w:tabs>
        <w:spacing w:before="120" w:after="120"/>
        <w:ind w:leftChars="0"/>
        <w:rPr>
          <w:color w:val="auto"/>
          <w:szCs w:val="22"/>
          <w:highlight w:val="none"/>
        </w:rPr>
      </w:pPr>
      <w:bookmarkStart w:id="482" w:name="_Toc19943"/>
      <w:bookmarkStart w:id="483" w:name="_Toc31912"/>
      <w:bookmarkStart w:id="484" w:name="_Toc28550"/>
      <w:bookmarkStart w:id="485" w:name="_Toc25684"/>
      <w:bookmarkStart w:id="486" w:name="_Toc26024"/>
      <w:bookmarkStart w:id="487" w:name="_Toc29941"/>
      <w:bookmarkStart w:id="488" w:name="_Toc2595"/>
      <w:bookmarkStart w:id="489" w:name="_Toc28113"/>
      <w:bookmarkStart w:id="490" w:name="_Toc27672"/>
      <w:bookmarkStart w:id="491" w:name="_Toc48837320"/>
      <w:bookmarkStart w:id="492" w:name="_Toc2670"/>
      <w:bookmarkStart w:id="493" w:name="_Toc1914"/>
      <w:bookmarkStart w:id="494" w:name="_Toc23757"/>
      <w:bookmarkStart w:id="495" w:name="_Toc21571"/>
      <w:bookmarkStart w:id="496" w:name="_Toc17877"/>
      <w:bookmarkStart w:id="497" w:name="_Toc10626"/>
      <w:bookmarkStart w:id="498" w:name="_Toc14826"/>
      <w:bookmarkStart w:id="499" w:name="_Toc3704"/>
      <w:bookmarkStart w:id="500" w:name="_Toc11106"/>
      <w:bookmarkStart w:id="501" w:name="_Toc30537"/>
      <w:bookmarkStart w:id="502" w:name="_Toc11270"/>
      <w:bookmarkStart w:id="503" w:name="_Toc30219"/>
      <w:bookmarkStart w:id="504" w:name="_Toc25557"/>
      <w:bookmarkStart w:id="505" w:name="_Toc28095"/>
      <w:bookmarkStart w:id="506" w:name="_Toc7488"/>
      <w:bookmarkStart w:id="507" w:name="_Toc12249"/>
      <w:bookmarkStart w:id="508" w:name="_Toc6408"/>
      <w:bookmarkStart w:id="509" w:name="_Toc11334"/>
      <w:r>
        <w:rPr>
          <w:rFonts w:hint="eastAsia"/>
          <w:color w:val="auto"/>
          <w:szCs w:val="22"/>
          <w:highlight w:val="none"/>
          <w:lang w:eastAsia="zh-CN"/>
        </w:rPr>
        <w:t>第五篇</w:t>
      </w:r>
      <w:r>
        <w:rPr>
          <w:rFonts w:hint="eastAsia"/>
          <w:color w:val="auto"/>
          <w:szCs w:val="22"/>
          <w:highlight w:val="none"/>
          <w:lang w:val="en-US" w:eastAsia="zh-CN"/>
        </w:rPr>
        <w:t xml:space="preserve"> </w:t>
      </w:r>
      <w:r>
        <w:rPr>
          <w:rFonts w:hint="eastAsia"/>
          <w:color w:val="auto"/>
          <w:szCs w:val="22"/>
          <w:highlight w:val="none"/>
        </w:rPr>
        <w:t>供应商须知</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keepNext w:val="0"/>
        <w:keepLines w:val="0"/>
        <w:pageBreakBefore w:val="0"/>
        <w:widowControl w:val="0"/>
        <w:kinsoku/>
        <w:wordWrap/>
        <w:overflowPunct/>
        <w:topLinePunct w:val="0"/>
        <w:autoSpaceDE/>
        <w:autoSpaceDN/>
        <w:bidi w:val="0"/>
        <w:adjustRightInd/>
        <w:spacing w:before="156" w:after="156" w:line="520" w:lineRule="exact"/>
        <w:ind w:firstLine="482" w:firstLineChars="200"/>
        <w:jc w:val="left"/>
        <w:textAlignment w:val="auto"/>
        <w:outlineLvl w:val="1"/>
        <w:rPr>
          <w:rFonts w:eastAsia="仿宋" w:cs="宋体"/>
          <w:b/>
          <w:bCs/>
          <w:color w:val="auto"/>
          <w:szCs w:val="28"/>
          <w:highlight w:val="none"/>
        </w:rPr>
      </w:pPr>
      <w:bookmarkStart w:id="510" w:name="_Toc48837321"/>
      <w:bookmarkStart w:id="511" w:name="_Toc11889"/>
      <w:bookmarkStart w:id="512" w:name="_Toc25930"/>
      <w:bookmarkStart w:id="513" w:name="_Toc7063"/>
      <w:bookmarkStart w:id="514" w:name="_Toc18692"/>
      <w:bookmarkStart w:id="515" w:name="_Toc24005"/>
      <w:bookmarkStart w:id="516" w:name="_Toc18984"/>
      <w:bookmarkStart w:id="517" w:name="_Toc6608"/>
      <w:bookmarkStart w:id="518" w:name="_Toc26802"/>
      <w:bookmarkStart w:id="519" w:name="_Toc15846"/>
      <w:bookmarkStart w:id="520" w:name="_Toc4340"/>
      <w:bookmarkStart w:id="521" w:name="_Toc1122"/>
      <w:bookmarkStart w:id="522" w:name="_Toc10737"/>
      <w:bookmarkStart w:id="523" w:name="_Toc24216"/>
      <w:bookmarkStart w:id="524" w:name="_Toc22525"/>
      <w:bookmarkStart w:id="525" w:name="_Toc11853"/>
      <w:bookmarkStart w:id="526" w:name="_Toc65512156"/>
      <w:bookmarkStart w:id="527" w:name="_Toc1817"/>
      <w:bookmarkStart w:id="528" w:name="_Toc17191"/>
      <w:bookmarkStart w:id="529" w:name="_Toc5449"/>
      <w:bookmarkStart w:id="530" w:name="_Toc27012"/>
      <w:bookmarkStart w:id="531" w:name="_Toc8802"/>
      <w:bookmarkStart w:id="532" w:name="_Toc22471"/>
      <w:bookmarkStart w:id="533" w:name="_Toc18065"/>
      <w:bookmarkStart w:id="534" w:name="_Toc7838"/>
      <w:bookmarkStart w:id="535" w:name="_Toc28864"/>
      <w:bookmarkStart w:id="536" w:name="_Toc4154"/>
      <w:bookmarkStart w:id="537" w:name="_Toc6949"/>
      <w:bookmarkStart w:id="538" w:name="_Toc22160"/>
      <w:bookmarkStart w:id="539" w:name="_Toc495592661"/>
      <w:r>
        <w:rPr>
          <w:rFonts w:hint="eastAsia" w:eastAsia="仿宋" w:cs="宋体"/>
          <w:b/>
          <w:bCs/>
          <w:color w:val="auto"/>
          <w:szCs w:val="28"/>
          <w:highlight w:val="none"/>
        </w:rPr>
        <w:t>一、</w:t>
      </w:r>
      <w:r>
        <w:rPr>
          <w:rFonts w:hint="eastAsia" w:eastAsia="仿宋" w:cs="宋体"/>
          <w:b/>
          <w:bCs/>
          <w:color w:val="auto"/>
          <w:szCs w:val="28"/>
          <w:highlight w:val="none"/>
          <w:lang w:eastAsia="zh-CN"/>
        </w:rPr>
        <w:t>比选</w:t>
      </w:r>
      <w:r>
        <w:rPr>
          <w:rFonts w:hint="eastAsia" w:eastAsia="仿宋" w:cs="宋体"/>
          <w:b/>
          <w:bCs/>
          <w:color w:val="auto"/>
          <w:szCs w:val="28"/>
          <w:highlight w:val="none"/>
        </w:rPr>
        <w:t>费用</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参与</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的供应商应承担其编制响应文件与递交响应文件所涉及的一切费用，不论</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结果如何，采购人在任何情况下无义务也无责任承担这些费用。</w:t>
      </w:r>
    </w:p>
    <w:bookmarkEnd w:id="539"/>
    <w:p>
      <w:pPr>
        <w:keepNext w:val="0"/>
        <w:keepLines w:val="0"/>
        <w:pageBreakBefore w:val="0"/>
        <w:widowControl w:val="0"/>
        <w:kinsoku/>
        <w:wordWrap/>
        <w:overflowPunct/>
        <w:topLinePunct w:val="0"/>
        <w:autoSpaceDE/>
        <w:autoSpaceDN/>
        <w:bidi w:val="0"/>
        <w:adjustRightInd/>
        <w:spacing w:before="156" w:after="156" w:line="520" w:lineRule="exact"/>
        <w:ind w:firstLine="482" w:firstLineChars="200"/>
        <w:jc w:val="left"/>
        <w:textAlignment w:val="auto"/>
        <w:outlineLvl w:val="1"/>
        <w:rPr>
          <w:rFonts w:eastAsia="仿宋" w:cs="宋体"/>
          <w:b/>
          <w:bCs/>
          <w:color w:val="auto"/>
          <w:szCs w:val="28"/>
          <w:highlight w:val="none"/>
        </w:rPr>
      </w:pPr>
      <w:bookmarkStart w:id="540" w:name="_Toc48837322"/>
      <w:bookmarkStart w:id="541" w:name="_Toc6793"/>
      <w:bookmarkStart w:id="542" w:name="_Toc28248"/>
      <w:bookmarkStart w:id="543" w:name="_Toc24056"/>
      <w:bookmarkStart w:id="544" w:name="_Toc26385"/>
      <w:bookmarkStart w:id="545" w:name="_Toc6050"/>
      <w:bookmarkStart w:id="546" w:name="_Toc11594"/>
      <w:bookmarkStart w:id="547" w:name="_Toc24459"/>
      <w:bookmarkStart w:id="548" w:name="_Toc31824"/>
      <w:bookmarkStart w:id="549" w:name="_Toc3940"/>
      <w:bookmarkStart w:id="550" w:name="_Toc5175"/>
      <w:bookmarkStart w:id="551" w:name="_Toc18712"/>
      <w:bookmarkStart w:id="552" w:name="_Toc17888"/>
      <w:bookmarkStart w:id="553" w:name="_Toc15823"/>
      <w:bookmarkStart w:id="554" w:name="_Toc26700"/>
      <w:bookmarkStart w:id="555" w:name="_Toc466546926"/>
      <w:bookmarkStart w:id="556" w:name="_Toc65512157"/>
      <w:bookmarkStart w:id="557" w:name="_Toc2882"/>
      <w:bookmarkStart w:id="558" w:name="_Toc32292"/>
      <w:bookmarkStart w:id="559" w:name="_Toc22862"/>
      <w:bookmarkStart w:id="560" w:name="_Toc27928"/>
      <w:bookmarkStart w:id="561" w:name="_Toc13873"/>
      <w:bookmarkStart w:id="562" w:name="_Toc8987"/>
      <w:bookmarkStart w:id="563" w:name="_Toc1425"/>
      <w:bookmarkStart w:id="564" w:name="_Toc6684"/>
      <w:bookmarkStart w:id="565" w:name="_Toc7965"/>
      <w:bookmarkStart w:id="566" w:name="_Toc30461"/>
      <w:bookmarkStart w:id="567" w:name="_Toc17503"/>
      <w:bookmarkStart w:id="568" w:name="_Toc29110"/>
      <w:bookmarkStart w:id="569" w:name="_Toc23225"/>
      <w:bookmarkStart w:id="570" w:name="_Toc15149"/>
      <w:bookmarkStart w:id="571" w:name="_Toc495592662"/>
      <w:r>
        <w:rPr>
          <w:rFonts w:hint="eastAsia" w:eastAsia="仿宋" w:cs="宋体"/>
          <w:b/>
          <w:bCs/>
          <w:color w:val="auto"/>
          <w:szCs w:val="28"/>
          <w:highlight w:val="none"/>
        </w:rPr>
        <w:t>二、</w:t>
      </w:r>
      <w:r>
        <w:rPr>
          <w:rFonts w:hint="eastAsia" w:eastAsia="仿宋" w:cs="宋体"/>
          <w:b/>
          <w:bCs/>
          <w:color w:val="auto"/>
          <w:szCs w:val="28"/>
          <w:highlight w:val="none"/>
          <w:lang w:eastAsia="zh-CN"/>
        </w:rPr>
        <w:t>比选</w:t>
      </w:r>
      <w:r>
        <w:rPr>
          <w:rFonts w:hint="eastAsia" w:eastAsia="仿宋" w:cs="宋体"/>
          <w:b/>
          <w:bCs/>
          <w:color w:val="auto"/>
          <w:szCs w:val="28"/>
          <w:highlight w:val="none"/>
        </w:rPr>
        <w:t>文件</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文件由采购邀请书，采购服务（技术）需求，采购商务需求，</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程序及方法、评审标准、无效响应和采购终止，供应商须知，响应文件编制要求等七部分组成。</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（二）采购人所作的一切有效的书面通知、修改及补充，都是</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文件不可分割的部分。</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三</w:t>
      </w:r>
      <w:r>
        <w:rPr>
          <w:rFonts w:hint="eastAsia" w:ascii="方正仿宋_GBK" w:hAnsi="仿宋" w:eastAsia="仿宋" w:cs="仿宋"/>
          <w:color w:val="auto"/>
          <w:kern w:val="0"/>
          <w:szCs w:val="28"/>
          <w:highlight w:val="none"/>
        </w:rPr>
        <w:t>）本</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文件中，</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小组根据与供应商进行</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可能实质性变动的内容为</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文件第二、三篇全部内容。</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四</w:t>
      </w:r>
      <w:r>
        <w:rPr>
          <w:rFonts w:hint="eastAsia" w:ascii="方正仿宋_GBK" w:hAnsi="仿宋" w:eastAsia="仿宋" w:cs="仿宋"/>
          <w:color w:val="auto"/>
          <w:kern w:val="0"/>
          <w:szCs w:val="28"/>
          <w:highlight w:val="none"/>
        </w:rPr>
        <w:t>）评审的依据为</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文件和响应文件（含有效的书面承诺）。</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小组判断响应文件对</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文件的响应，仅基于响应文件本身而不靠外部证据。</w:t>
      </w:r>
    </w:p>
    <w:p>
      <w:pPr>
        <w:keepNext w:val="0"/>
        <w:keepLines w:val="0"/>
        <w:pageBreakBefore w:val="0"/>
        <w:widowControl w:val="0"/>
        <w:kinsoku/>
        <w:wordWrap/>
        <w:overflowPunct/>
        <w:topLinePunct w:val="0"/>
        <w:autoSpaceDE/>
        <w:autoSpaceDN/>
        <w:bidi w:val="0"/>
        <w:adjustRightInd/>
        <w:spacing w:before="156" w:after="156" w:line="520" w:lineRule="exact"/>
        <w:ind w:firstLine="482" w:firstLineChars="200"/>
        <w:jc w:val="left"/>
        <w:textAlignment w:val="auto"/>
        <w:outlineLvl w:val="1"/>
        <w:rPr>
          <w:rFonts w:eastAsia="仿宋" w:cs="宋体"/>
          <w:b/>
          <w:bCs/>
          <w:color w:val="auto"/>
          <w:szCs w:val="28"/>
          <w:highlight w:val="none"/>
        </w:rPr>
      </w:pPr>
      <w:bookmarkStart w:id="572" w:name="_Toc755"/>
      <w:bookmarkStart w:id="573" w:name="_Toc24110"/>
      <w:bookmarkStart w:id="574" w:name="_Toc13318"/>
      <w:bookmarkStart w:id="575" w:name="_Toc16031"/>
      <w:bookmarkStart w:id="576" w:name="_Toc12088"/>
      <w:bookmarkStart w:id="577" w:name="_Toc7846"/>
      <w:bookmarkStart w:id="578" w:name="_Toc65512158"/>
      <w:bookmarkStart w:id="579" w:name="_Toc6181"/>
      <w:bookmarkStart w:id="580" w:name="_Toc24924"/>
      <w:bookmarkStart w:id="581" w:name="_Toc1475"/>
      <w:bookmarkStart w:id="582" w:name="_Toc3092"/>
      <w:bookmarkStart w:id="583" w:name="_Toc48837323"/>
      <w:bookmarkStart w:id="584" w:name="_Toc144"/>
      <w:bookmarkStart w:id="585" w:name="_Toc2271"/>
      <w:bookmarkStart w:id="586" w:name="_Toc4761"/>
      <w:bookmarkStart w:id="587" w:name="_Toc12571"/>
      <w:bookmarkStart w:id="588" w:name="_Toc23284"/>
      <w:bookmarkStart w:id="589" w:name="_Toc14931"/>
      <w:bookmarkStart w:id="590" w:name="_Toc14092"/>
      <w:bookmarkStart w:id="591" w:name="_Toc27538"/>
      <w:bookmarkStart w:id="592" w:name="_Toc24716"/>
      <w:bookmarkStart w:id="593" w:name="_Toc1990"/>
      <w:bookmarkStart w:id="594" w:name="_Toc4956"/>
      <w:bookmarkStart w:id="595" w:name="_Toc21645"/>
      <w:bookmarkStart w:id="596" w:name="_Toc26135"/>
      <w:bookmarkStart w:id="597" w:name="_Toc18120"/>
      <w:bookmarkStart w:id="598" w:name="_Toc19275"/>
      <w:bookmarkStart w:id="599" w:name="_Toc18397"/>
      <w:r>
        <w:rPr>
          <w:rFonts w:hint="eastAsia" w:eastAsia="仿宋" w:cs="宋体"/>
          <w:b/>
          <w:bCs/>
          <w:color w:val="auto"/>
          <w:szCs w:val="28"/>
          <w:highlight w:val="none"/>
        </w:rPr>
        <w:t>三、</w:t>
      </w:r>
      <w:bookmarkEnd w:id="571"/>
      <w:r>
        <w:rPr>
          <w:rFonts w:hint="eastAsia" w:eastAsia="仿宋" w:cs="宋体"/>
          <w:b/>
          <w:bCs/>
          <w:color w:val="auto"/>
          <w:szCs w:val="28"/>
          <w:highlight w:val="none"/>
          <w:lang w:eastAsia="zh-CN"/>
        </w:rPr>
        <w:t>比选</w:t>
      </w:r>
      <w:r>
        <w:rPr>
          <w:rFonts w:hint="eastAsia" w:eastAsia="仿宋" w:cs="宋体"/>
          <w:b/>
          <w:bCs/>
          <w:color w:val="auto"/>
          <w:szCs w:val="28"/>
          <w:highlight w:val="none"/>
        </w:rPr>
        <w:t>要求</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（一）响应文件</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1.供应商应当按照</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文件的要求编制响应文件，并对</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文件提出的要求和条件作出实质性响应，响应文件原则上采用软面订本，同时应编制完整的页码、目录。</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2.响应文件组成</w:t>
      </w:r>
    </w:p>
    <w:p>
      <w:pPr>
        <w:spacing w:line="520" w:lineRule="exact"/>
        <w:ind w:firstLine="480" w:firstLineChars="200"/>
        <w:jc w:val="left"/>
        <w:rPr>
          <w:rFonts w:ascii="宋体" w:hAnsi="宋体" w:eastAsia="仿宋" w:cs="宋体"/>
          <w:color w:val="auto"/>
          <w:highlight w:val="none"/>
        </w:rPr>
      </w:pPr>
      <w:r>
        <w:rPr>
          <w:rFonts w:hint="eastAsia" w:ascii="方正仿宋_GBK" w:hAnsi="仿宋" w:eastAsia="仿宋" w:cs="仿宋"/>
          <w:color w:val="auto"/>
          <w:kern w:val="0"/>
          <w:szCs w:val="28"/>
          <w:highlight w:val="none"/>
        </w:rPr>
        <w:t>响应文件由第</w:t>
      </w:r>
      <w:r>
        <w:rPr>
          <w:rFonts w:hint="eastAsia" w:ascii="方正仿宋_GBK" w:hAnsi="仿宋" w:eastAsia="仿宋" w:cs="仿宋"/>
          <w:color w:val="auto"/>
          <w:kern w:val="0"/>
          <w:szCs w:val="28"/>
          <w:highlight w:val="none"/>
          <w:lang w:eastAsia="zh-CN"/>
        </w:rPr>
        <w:t>六</w:t>
      </w:r>
      <w:r>
        <w:rPr>
          <w:rFonts w:hint="eastAsia" w:ascii="方正仿宋_GBK" w:hAnsi="仿宋" w:eastAsia="仿宋" w:cs="仿宋"/>
          <w:color w:val="auto"/>
          <w:kern w:val="0"/>
          <w:szCs w:val="28"/>
          <w:highlight w:val="none"/>
        </w:rPr>
        <w:t>篇“响应文件编制要求”规定的部分和供应商所作的一切有效补充、修改和承诺等文件组成，供应商应按照第</w:t>
      </w:r>
      <w:r>
        <w:rPr>
          <w:rFonts w:hint="eastAsia" w:ascii="方正仿宋_GBK" w:hAnsi="仿宋" w:eastAsia="仿宋" w:cs="仿宋"/>
          <w:color w:val="auto"/>
          <w:kern w:val="0"/>
          <w:szCs w:val="28"/>
          <w:highlight w:val="none"/>
          <w:lang w:eastAsia="zh-CN"/>
        </w:rPr>
        <w:t>六</w:t>
      </w:r>
      <w:r>
        <w:rPr>
          <w:rFonts w:hint="eastAsia" w:ascii="方正仿宋_GBK" w:hAnsi="仿宋" w:eastAsia="仿宋" w:cs="仿宋"/>
          <w:color w:val="auto"/>
          <w:kern w:val="0"/>
          <w:szCs w:val="28"/>
          <w:highlight w:val="none"/>
        </w:rPr>
        <w:t>篇“响应文件编制要求”规定的目录顺序组织编写和装订，也可在基本格式基础上对表格进行扩展，未规定格式的由供应商自定格式。</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（二）联合体</w:t>
      </w:r>
    </w:p>
    <w:p>
      <w:pPr>
        <w:spacing w:line="520" w:lineRule="exact"/>
        <w:ind w:firstLine="480" w:firstLineChars="200"/>
        <w:jc w:val="left"/>
        <w:rPr>
          <w:rFonts w:hint="eastAsia" w:eastAsia="方正仿宋_GBK"/>
          <w:color w:val="auto"/>
          <w:highlight w:val="none"/>
          <w:lang w:eastAsia="zh-CN"/>
        </w:rPr>
      </w:pPr>
      <w:bookmarkStart w:id="600" w:name="_Hlk84853302"/>
      <w:r>
        <w:rPr>
          <w:rFonts w:hint="eastAsia"/>
          <w:color w:val="auto"/>
          <w:highlight w:val="none"/>
          <w:lang w:eastAsia="zh-CN"/>
        </w:rPr>
        <w:t>本项目不接受联合体投标</w:t>
      </w:r>
    </w:p>
    <w:bookmarkEnd w:id="600"/>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有效期：响应文件及有关承诺文件有效期为提交响应文件截止时间起90天。</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四</w:t>
      </w:r>
      <w:r>
        <w:rPr>
          <w:rFonts w:hint="eastAsia" w:ascii="方正仿宋_GBK" w:hAnsi="仿宋" w:eastAsia="仿宋" w:cs="仿宋"/>
          <w:color w:val="auto"/>
          <w:kern w:val="0"/>
          <w:szCs w:val="28"/>
          <w:highlight w:val="none"/>
        </w:rPr>
        <w:t>）提交响应文件的份数和签署</w:t>
      </w:r>
    </w:p>
    <w:p>
      <w:pPr>
        <w:spacing w:line="520" w:lineRule="exact"/>
        <w:ind w:firstLine="480" w:firstLineChars="200"/>
        <w:jc w:val="left"/>
        <w:rPr>
          <w:rFonts w:ascii="方正仿宋_GBK" w:hAnsi="仿宋" w:eastAsia="仿宋" w:cs="仿宋"/>
          <w:b w:val="0"/>
          <w:bCs w:val="0"/>
          <w:color w:val="auto"/>
          <w:kern w:val="0"/>
          <w:szCs w:val="28"/>
          <w:highlight w:val="none"/>
          <w:u w:val="none"/>
        </w:rPr>
      </w:pPr>
      <w:bookmarkStart w:id="601" w:name="_Hlk84855761"/>
      <w:r>
        <w:rPr>
          <w:rFonts w:hint="eastAsia" w:ascii="方正仿宋_GBK" w:hAnsi="仿宋" w:eastAsia="仿宋" w:cs="仿宋"/>
          <w:b w:val="0"/>
          <w:bCs w:val="0"/>
          <w:color w:val="auto"/>
          <w:kern w:val="0"/>
          <w:szCs w:val="28"/>
          <w:highlight w:val="none"/>
          <w:u w:val="none"/>
        </w:rPr>
        <w:t>1.响应文件一式</w:t>
      </w:r>
      <w:r>
        <w:rPr>
          <w:rFonts w:hint="eastAsia" w:ascii="方正仿宋_GBK" w:hAnsi="仿宋" w:eastAsia="仿宋" w:cs="仿宋"/>
          <w:b w:val="0"/>
          <w:bCs w:val="0"/>
          <w:color w:val="auto"/>
          <w:kern w:val="0"/>
          <w:szCs w:val="28"/>
          <w:highlight w:val="none"/>
          <w:u w:val="none"/>
          <w:lang w:eastAsia="zh-CN"/>
        </w:rPr>
        <w:t>两</w:t>
      </w:r>
      <w:r>
        <w:rPr>
          <w:rFonts w:hint="eastAsia" w:ascii="方正仿宋_GBK" w:hAnsi="仿宋" w:eastAsia="仿宋" w:cs="仿宋"/>
          <w:b w:val="0"/>
          <w:bCs w:val="0"/>
          <w:color w:val="auto"/>
          <w:kern w:val="0"/>
          <w:szCs w:val="28"/>
          <w:highlight w:val="none"/>
          <w:u w:val="none"/>
        </w:rPr>
        <w:t>份，其中正本一份，副本一份，副本可为正本的复印件，应与正本一致，如出现不一致情况以正本为准。</w:t>
      </w:r>
      <w:bookmarkEnd w:id="601"/>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2.在响应文件正本中，</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w:t>
      </w:r>
      <w:r>
        <w:rPr>
          <w:rFonts w:hint="eastAsia" w:ascii="方正仿宋_GBK" w:hAnsi="仿宋" w:eastAsia="仿宋" w:cs="仿宋"/>
          <w:color w:val="auto"/>
          <w:kern w:val="0"/>
          <w:szCs w:val="28"/>
          <w:highlight w:val="none"/>
          <w:lang w:eastAsia="zh-CN"/>
        </w:rPr>
        <w:t>六</w:t>
      </w:r>
      <w:r>
        <w:rPr>
          <w:rFonts w:hint="eastAsia" w:ascii="方正仿宋_GBK" w:hAnsi="仿宋" w:eastAsia="仿宋" w:cs="仿宋"/>
          <w:color w:val="auto"/>
          <w:kern w:val="0"/>
          <w:szCs w:val="28"/>
          <w:highlight w:val="none"/>
        </w:rPr>
        <w:t>篇“响应文件编制要求”中规定签字、盖章的地方必须按其规定签字、盖章。</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五</w:t>
      </w:r>
      <w:r>
        <w:rPr>
          <w:rFonts w:hint="eastAsia" w:ascii="方正仿宋_GBK" w:hAnsi="仿宋" w:eastAsia="仿宋" w:cs="仿宋"/>
          <w:color w:val="auto"/>
          <w:kern w:val="0"/>
          <w:szCs w:val="28"/>
          <w:highlight w:val="none"/>
        </w:rPr>
        <w:t>）</w:t>
      </w:r>
      <w:bookmarkStart w:id="602" w:name="_Hlk84855887"/>
      <w:r>
        <w:rPr>
          <w:rFonts w:hint="eastAsia" w:ascii="方正仿宋_GBK" w:hAnsi="仿宋" w:eastAsia="仿宋" w:cs="仿宋"/>
          <w:color w:val="auto"/>
          <w:kern w:val="0"/>
          <w:szCs w:val="28"/>
          <w:highlight w:val="none"/>
        </w:rPr>
        <w:t>响应文件的递交</w:t>
      </w:r>
    </w:p>
    <w:p>
      <w:pPr>
        <w:spacing w:line="520" w:lineRule="exact"/>
        <w:ind w:firstLine="480" w:firstLineChars="200"/>
        <w:jc w:val="left"/>
        <w:rPr>
          <w:rFonts w:ascii="方正仿宋_GBK" w:hAnsi="仿宋" w:eastAsia="仿宋" w:cs="仿宋"/>
          <w:color w:val="auto"/>
          <w:kern w:val="0"/>
          <w:szCs w:val="28"/>
          <w:highlight w:val="none"/>
        </w:rPr>
      </w:pPr>
      <w:bookmarkStart w:id="603" w:name="_Toc5765"/>
      <w:bookmarkStart w:id="604" w:name="_Toc5414"/>
      <w:bookmarkStart w:id="605" w:name="_Toc466546928"/>
      <w:r>
        <w:rPr>
          <w:rFonts w:hint="eastAsia" w:ascii="方正仿宋_GBK" w:hAnsi="仿宋" w:eastAsia="仿宋" w:cs="仿宋"/>
          <w:color w:val="auto"/>
          <w:kern w:val="0"/>
          <w:szCs w:val="28"/>
          <w:highlight w:val="none"/>
        </w:rPr>
        <w:t>响应文件的正本、副本均应密封送达</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地点，应在封套上注明</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项目名称、供应商名称。若正本、副本以及电子文档分别进行密封的，还应在封套上注明“正本”、“副本”字样。</w:t>
      </w:r>
      <w:bookmarkEnd w:id="602"/>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六</w:t>
      </w:r>
      <w:r>
        <w:rPr>
          <w:rFonts w:hint="eastAsia" w:ascii="方正仿宋_GBK" w:hAnsi="仿宋" w:eastAsia="仿宋" w:cs="仿宋"/>
          <w:color w:val="auto"/>
          <w:kern w:val="0"/>
          <w:szCs w:val="28"/>
          <w:highlight w:val="none"/>
        </w:rPr>
        <w:t>）响应文件语言：简体中文</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七</w:t>
      </w:r>
      <w:r>
        <w:rPr>
          <w:rFonts w:hint="eastAsia" w:ascii="方正仿宋_GBK" w:hAnsi="仿宋" w:eastAsia="仿宋" w:cs="仿宋"/>
          <w:color w:val="auto"/>
          <w:kern w:val="0"/>
          <w:szCs w:val="28"/>
          <w:highlight w:val="none"/>
        </w:rPr>
        <w:t>）供应商参与人员</w:t>
      </w:r>
    </w:p>
    <w:p>
      <w:pPr>
        <w:spacing w:line="520" w:lineRule="exact"/>
        <w:ind w:firstLine="480" w:firstLineChars="200"/>
        <w:jc w:val="left"/>
        <w:rPr>
          <w:color w:val="auto"/>
          <w:highlight w:val="none"/>
        </w:rPr>
      </w:pPr>
      <w:r>
        <w:rPr>
          <w:rFonts w:hint="eastAsia" w:ascii="方正仿宋_GBK" w:hAnsi="仿宋" w:eastAsia="仿宋" w:cs="仿宋"/>
          <w:color w:val="auto"/>
          <w:kern w:val="0"/>
          <w:szCs w:val="28"/>
          <w:highlight w:val="none"/>
        </w:rPr>
        <w:t>各个供应商应当派1-2名代表参与</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，至少1人应为法定代表人（或其授权代表）或自然人（供应商为自然人）。</w:t>
      </w:r>
      <w:bookmarkEnd w:id="603"/>
      <w:bookmarkEnd w:id="604"/>
      <w:bookmarkEnd w:id="605"/>
      <w:bookmarkStart w:id="606" w:name="_Toc48837325"/>
      <w:bookmarkStart w:id="607" w:name="_Toc28017"/>
      <w:bookmarkStart w:id="608" w:name="_Toc15745"/>
      <w:bookmarkStart w:id="609" w:name="_Toc466546929"/>
      <w:bookmarkStart w:id="610" w:name="_Toc20781"/>
      <w:bookmarkStart w:id="611" w:name="_Toc9630"/>
      <w:bookmarkStart w:id="612" w:name="_Toc23363"/>
      <w:bookmarkStart w:id="613" w:name="_Toc342913395"/>
      <w:bookmarkStart w:id="614" w:name="_Toc1926"/>
      <w:bookmarkStart w:id="615" w:name="_Toc20683"/>
      <w:bookmarkStart w:id="616" w:name="_Toc31319"/>
      <w:bookmarkStart w:id="617" w:name="_Toc8011"/>
      <w:bookmarkStart w:id="618" w:name="_Toc3121"/>
      <w:bookmarkStart w:id="619" w:name="_Toc5692"/>
      <w:bookmarkStart w:id="620" w:name="_Toc102227321"/>
      <w:bookmarkStart w:id="621" w:name="_Toc65512160"/>
      <w:bookmarkStart w:id="622" w:name="_Toc2040"/>
      <w:bookmarkStart w:id="623" w:name="_Toc3826"/>
      <w:bookmarkStart w:id="624" w:name="_Toc1299"/>
      <w:bookmarkStart w:id="625" w:name="_Toc6889"/>
      <w:bookmarkStart w:id="626" w:name="_Toc13622"/>
      <w:bookmarkStart w:id="627" w:name="_Toc59"/>
      <w:bookmarkStart w:id="628" w:name="_Toc10869"/>
      <w:bookmarkStart w:id="629" w:name="_Toc14938"/>
      <w:bookmarkStart w:id="630" w:name="_Toc25570"/>
      <w:bookmarkStart w:id="631" w:name="_Toc28797"/>
      <w:bookmarkStart w:id="632" w:name="_Toc16539"/>
      <w:bookmarkStart w:id="633" w:name="_Toc16450"/>
      <w:bookmarkStart w:id="634" w:name="_Toc9838"/>
    </w:p>
    <w:p>
      <w:pPr>
        <w:spacing w:before="156" w:after="156" w:line="520" w:lineRule="exact"/>
        <w:ind w:firstLine="482" w:firstLineChars="200"/>
        <w:jc w:val="left"/>
        <w:outlineLvl w:val="1"/>
        <w:rPr>
          <w:rFonts w:eastAsia="仿宋" w:cs="宋体"/>
          <w:b/>
          <w:bCs/>
          <w:color w:val="auto"/>
          <w:szCs w:val="28"/>
          <w:highlight w:val="none"/>
        </w:rPr>
      </w:pPr>
      <w:bookmarkStart w:id="635" w:name="_Toc28491"/>
      <w:bookmarkStart w:id="636" w:name="_Toc5742"/>
      <w:bookmarkStart w:id="637" w:name="_Toc5593"/>
      <w:bookmarkStart w:id="638" w:name="_Toc21247"/>
      <w:r>
        <w:rPr>
          <w:rFonts w:hint="eastAsia" w:eastAsia="仿宋" w:cs="宋体"/>
          <w:b/>
          <w:bCs/>
          <w:color w:val="auto"/>
          <w:szCs w:val="28"/>
          <w:highlight w:val="none"/>
          <w:lang w:eastAsia="zh-CN"/>
        </w:rPr>
        <w:t>四</w:t>
      </w:r>
      <w:r>
        <w:rPr>
          <w:rFonts w:hint="eastAsia" w:eastAsia="仿宋" w:cs="宋体"/>
          <w:b/>
          <w:bCs/>
          <w:color w:val="auto"/>
          <w:szCs w:val="28"/>
          <w:highlight w:val="none"/>
        </w:rPr>
        <w:t>、成交通知</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（一）成交供应商确定后，采购</w:t>
      </w:r>
      <w:r>
        <w:rPr>
          <w:rFonts w:hint="eastAsia" w:ascii="方正仿宋_GBK" w:hAnsi="仿宋" w:eastAsia="仿宋" w:cs="仿宋"/>
          <w:color w:val="auto"/>
          <w:kern w:val="0"/>
          <w:szCs w:val="28"/>
          <w:highlight w:val="none"/>
          <w:lang w:eastAsia="zh-CN"/>
        </w:rPr>
        <w:t>人</w:t>
      </w:r>
      <w:r>
        <w:rPr>
          <w:rFonts w:hint="eastAsia" w:ascii="方正仿宋_GBK" w:hAnsi="仿宋" w:eastAsia="仿宋" w:cs="仿宋"/>
          <w:color w:val="auto"/>
          <w:kern w:val="0"/>
          <w:szCs w:val="28"/>
          <w:highlight w:val="none"/>
        </w:rPr>
        <w:t>将在重庆</w:t>
      </w:r>
      <w:r>
        <w:rPr>
          <w:rFonts w:hint="eastAsia" w:ascii="方正仿宋_GBK" w:hAnsi="仿宋" w:eastAsia="仿宋" w:cs="仿宋"/>
          <w:color w:val="auto"/>
          <w:kern w:val="0"/>
          <w:szCs w:val="28"/>
          <w:highlight w:val="none"/>
          <w:lang w:eastAsia="zh-CN"/>
        </w:rPr>
        <w:t>巴南区第二人民医院官网</w:t>
      </w:r>
      <w:r>
        <w:rPr>
          <w:rFonts w:hint="eastAsia" w:ascii="方正仿宋_GBK" w:hAnsi="仿宋" w:eastAsia="仿宋" w:cs="仿宋"/>
          <w:color w:val="auto"/>
          <w:kern w:val="0"/>
          <w:szCs w:val="28"/>
          <w:highlight w:val="none"/>
        </w:rPr>
        <w:t>上发布成交结果公告。</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（二）结果公告发出同时，采购</w:t>
      </w:r>
      <w:r>
        <w:rPr>
          <w:rFonts w:hint="eastAsia" w:ascii="方正仿宋_GBK" w:hAnsi="仿宋" w:eastAsia="仿宋" w:cs="仿宋"/>
          <w:color w:val="auto"/>
          <w:kern w:val="0"/>
          <w:szCs w:val="28"/>
          <w:highlight w:val="none"/>
          <w:lang w:eastAsia="zh-CN"/>
        </w:rPr>
        <w:t>人</w:t>
      </w:r>
      <w:r>
        <w:rPr>
          <w:rFonts w:hint="eastAsia" w:ascii="方正仿宋_GBK" w:hAnsi="仿宋" w:eastAsia="仿宋" w:cs="仿宋"/>
          <w:color w:val="auto"/>
          <w:kern w:val="0"/>
          <w:szCs w:val="28"/>
          <w:highlight w:val="none"/>
        </w:rPr>
        <w:t>将以书面形式发出《成交通知书》。《成交通知书》一经发出即发生法律效力。</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（三）《成交通知书》将作为签订合同的依据。</w:t>
      </w:r>
    </w:p>
    <w:p>
      <w:pPr>
        <w:spacing w:before="156" w:after="156" w:line="520" w:lineRule="exact"/>
        <w:ind w:firstLine="482" w:firstLineChars="200"/>
        <w:jc w:val="left"/>
        <w:outlineLvl w:val="1"/>
        <w:rPr>
          <w:rFonts w:eastAsia="仿宋" w:cs="宋体"/>
          <w:b/>
          <w:bCs/>
          <w:color w:val="auto"/>
          <w:szCs w:val="28"/>
          <w:highlight w:val="none"/>
        </w:rPr>
      </w:pPr>
      <w:bookmarkStart w:id="639" w:name="_Toc24231"/>
      <w:bookmarkStart w:id="640" w:name="_Toc2902"/>
      <w:bookmarkStart w:id="641" w:name="_Toc10976"/>
      <w:bookmarkStart w:id="642" w:name="_Toc22277"/>
      <w:bookmarkStart w:id="643" w:name="_Toc48837326"/>
      <w:bookmarkStart w:id="644" w:name="_Toc20298"/>
      <w:bookmarkStart w:id="645" w:name="_Toc14430"/>
      <w:bookmarkStart w:id="646" w:name="_Toc20152"/>
      <w:bookmarkStart w:id="647" w:name="_Toc11606"/>
      <w:bookmarkStart w:id="648" w:name="_Toc32388"/>
      <w:bookmarkStart w:id="649" w:name="_Toc466546930"/>
      <w:bookmarkStart w:id="650" w:name="_Toc13169"/>
      <w:bookmarkStart w:id="651" w:name="_Toc23002"/>
      <w:bookmarkStart w:id="652" w:name="_Toc6746"/>
      <w:bookmarkStart w:id="653" w:name="_Toc27976"/>
      <w:bookmarkStart w:id="654" w:name="_Toc65512161"/>
      <w:bookmarkStart w:id="655" w:name="_Toc22985"/>
      <w:bookmarkStart w:id="656" w:name="_Toc19735"/>
      <w:bookmarkStart w:id="657" w:name="_Toc11317"/>
      <w:bookmarkStart w:id="658" w:name="_Toc1541"/>
      <w:bookmarkStart w:id="659" w:name="_Toc16883"/>
      <w:bookmarkStart w:id="660" w:name="_Toc5312"/>
      <w:bookmarkStart w:id="661" w:name="_Toc5467"/>
      <w:bookmarkStart w:id="662" w:name="_Toc25914"/>
      <w:bookmarkStart w:id="663" w:name="_Toc30247"/>
      <w:bookmarkStart w:id="664" w:name="_Toc27598"/>
      <w:bookmarkStart w:id="665" w:name="_Toc12983"/>
      <w:bookmarkStart w:id="666" w:name="_Toc21650"/>
      <w:bookmarkStart w:id="667" w:name="_Toc22988"/>
      <w:bookmarkStart w:id="668" w:name="_Toc6151"/>
      <w:r>
        <w:rPr>
          <w:rFonts w:hint="eastAsia" w:eastAsia="仿宋" w:cs="宋体"/>
          <w:b/>
          <w:bCs/>
          <w:color w:val="auto"/>
          <w:szCs w:val="28"/>
          <w:highlight w:val="none"/>
          <w:lang w:eastAsia="zh-CN"/>
        </w:rPr>
        <w:t>五</w:t>
      </w:r>
      <w:r>
        <w:rPr>
          <w:rFonts w:hint="eastAsia" w:eastAsia="仿宋" w:cs="宋体"/>
          <w:b/>
          <w:bCs/>
          <w:color w:val="auto"/>
          <w:szCs w:val="28"/>
          <w:highlight w:val="none"/>
        </w:rPr>
        <w:t>、</w:t>
      </w:r>
      <w:bookmarkStart w:id="669" w:name="_Hlk84942436"/>
      <w:r>
        <w:rPr>
          <w:rFonts w:hint="eastAsia" w:eastAsia="仿宋" w:cs="宋体"/>
          <w:b/>
          <w:bCs/>
          <w:color w:val="auto"/>
          <w:szCs w:val="28"/>
          <w:highlight w:val="none"/>
        </w:rPr>
        <w:t>成交供应商的变更</w:t>
      </w:r>
      <w:bookmarkEnd w:id="639"/>
      <w:bookmarkEnd w:id="640"/>
      <w:bookmarkEnd w:id="641"/>
      <w:bookmarkEnd w:id="642"/>
      <w:bookmarkEnd w:id="669"/>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除不可抗力等因素外，成交通知书发出后，采购人改变成交结果，或者成交供应商拒绝签订采购合同的，应当承担相应的法律责任。</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Pr>
        <w:spacing w:before="156" w:after="156" w:line="520" w:lineRule="exact"/>
        <w:ind w:firstLine="482" w:firstLineChars="200"/>
        <w:jc w:val="left"/>
        <w:outlineLvl w:val="1"/>
        <w:rPr>
          <w:rFonts w:eastAsia="仿宋" w:cs="宋体"/>
          <w:b/>
          <w:bCs/>
          <w:color w:val="auto"/>
          <w:szCs w:val="28"/>
          <w:highlight w:val="none"/>
        </w:rPr>
      </w:pPr>
      <w:bookmarkStart w:id="670" w:name="_Toc102227322"/>
      <w:bookmarkStart w:id="671" w:name="_Toc22387"/>
      <w:bookmarkStart w:id="672" w:name="_Toc30977"/>
      <w:bookmarkStart w:id="673" w:name="_Toc48837327"/>
      <w:bookmarkStart w:id="674" w:name="_Toc2535"/>
      <w:bookmarkStart w:id="675" w:name="_Toc10058"/>
      <w:bookmarkStart w:id="676" w:name="_Toc25749"/>
      <w:bookmarkStart w:id="677" w:name="_Toc26939"/>
      <w:bookmarkStart w:id="678" w:name="_Toc6511"/>
      <w:bookmarkStart w:id="679" w:name="_Toc12792"/>
      <w:bookmarkStart w:id="680" w:name="_Toc9871"/>
      <w:bookmarkStart w:id="681" w:name="_Toc65512162"/>
      <w:bookmarkStart w:id="682" w:name="_Toc9101"/>
      <w:bookmarkStart w:id="683" w:name="_Toc30709"/>
      <w:bookmarkStart w:id="684" w:name="_Toc11926"/>
      <w:bookmarkStart w:id="685" w:name="_Toc22688"/>
      <w:bookmarkStart w:id="686" w:name="_Toc342913396"/>
      <w:bookmarkStart w:id="687" w:name="_Toc15949"/>
      <w:bookmarkStart w:id="688" w:name="_Toc1858"/>
      <w:bookmarkStart w:id="689" w:name="_Toc30962"/>
      <w:bookmarkStart w:id="690" w:name="_Toc4110"/>
      <w:bookmarkStart w:id="691" w:name="_Toc13271"/>
      <w:bookmarkStart w:id="692" w:name="_Toc26233"/>
      <w:bookmarkStart w:id="693" w:name="_Toc24988"/>
      <w:bookmarkStart w:id="694" w:name="_Toc1366"/>
      <w:bookmarkStart w:id="695" w:name="_Toc3190"/>
      <w:bookmarkStart w:id="696" w:name="_Toc25013"/>
      <w:bookmarkStart w:id="697" w:name="_Toc466546933"/>
      <w:bookmarkStart w:id="698" w:name="_Toc10380"/>
      <w:bookmarkStart w:id="699" w:name="_Toc28166"/>
      <w:bookmarkStart w:id="700" w:name="_Toc23596"/>
      <w:bookmarkStart w:id="701" w:name="_Toc29969"/>
      <w:bookmarkStart w:id="702" w:name="_Toc8030"/>
      <w:r>
        <w:rPr>
          <w:rFonts w:hint="eastAsia" w:eastAsia="仿宋" w:cs="宋体"/>
          <w:b/>
          <w:bCs/>
          <w:color w:val="auto"/>
          <w:szCs w:val="28"/>
          <w:highlight w:val="none"/>
          <w:lang w:eastAsia="zh-CN"/>
        </w:rPr>
        <w:t>六</w:t>
      </w:r>
      <w:r>
        <w:rPr>
          <w:rFonts w:hint="eastAsia" w:eastAsia="仿宋" w:cs="宋体"/>
          <w:b/>
          <w:bCs/>
          <w:color w:val="auto"/>
          <w:szCs w:val="28"/>
          <w:highlight w:val="none"/>
        </w:rPr>
        <w:t>、签订</w:t>
      </w:r>
      <w:bookmarkEnd w:id="670"/>
      <w:r>
        <w:rPr>
          <w:rFonts w:hint="eastAsia" w:eastAsia="仿宋" w:cs="宋体"/>
          <w:b/>
          <w:bCs/>
          <w:color w:val="auto"/>
          <w:szCs w:val="28"/>
          <w:highlight w:val="none"/>
        </w:rPr>
        <w:t>合同</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（一）采购人原则上自成交通知书发出之日起1</w:t>
      </w:r>
      <w:r>
        <w:rPr>
          <w:rFonts w:ascii="方正仿宋_GBK" w:hAnsi="仿宋" w:eastAsia="仿宋" w:cs="仿宋"/>
          <w:color w:val="auto"/>
          <w:kern w:val="0"/>
          <w:szCs w:val="28"/>
          <w:highlight w:val="none"/>
        </w:rPr>
        <w:t>0</w:t>
      </w:r>
      <w:r>
        <w:rPr>
          <w:rFonts w:hint="eastAsia" w:ascii="方正仿宋_GBK" w:hAnsi="仿宋" w:eastAsia="仿宋" w:cs="仿宋"/>
          <w:color w:val="auto"/>
          <w:kern w:val="0"/>
          <w:szCs w:val="28"/>
          <w:highlight w:val="none"/>
        </w:rPr>
        <w:t>日内，按照</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文件和成交供应商响应文件的约定，与成交供应商签订书面合同。所签订的合同不得对</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文件和供应商的响应文件作实质性修改。其他未尽事宜由采购人和成交人在采购合同中详细约定。成交供应商逾期或拒绝或不按成交状态签订合同的，按政府采购法的有关规定进行严肃处理。</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二</w:t>
      </w: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文件、供应商的响应文件及澄清文件等，均为签订采购合同的依据。</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三</w:t>
      </w:r>
      <w:r>
        <w:rPr>
          <w:rFonts w:hint="eastAsia" w:ascii="方正仿宋_GBK" w:hAnsi="仿宋" w:eastAsia="仿宋" w:cs="仿宋"/>
          <w:color w:val="auto"/>
          <w:kern w:val="0"/>
          <w:szCs w:val="28"/>
          <w:highlight w:val="none"/>
        </w:rPr>
        <w:t xml:space="preserve">）合同生效条款由供需双方约定，法律、行政法规规定应当办理批准、登记等手续后生效的合同，依照其规定。 </w:t>
      </w:r>
    </w:p>
    <w:p>
      <w:pPr>
        <w:spacing w:line="520" w:lineRule="exact"/>
        <w:ind w:firstLine="480" w:firstLineChars="200"/>
        <w:jc w:val="left"/>
        <w:rPr>
          <w:rFonts w:ascii="方正仿宋_GBK" w:hAnsi="仿宋" w:eastAsia="仿宋" w:cs="仿宋"/>
          <w:color w:val="auto"/>
          <w:kern w:val="0"/>
          <w:szCs w:val="28"/>
          <w:highlight w:val="none"/>
        </w:rPr>
      </w:pPr>
      <w:bookmarkStart w:id="703" w:name="_Toc14780"/>
      <w:bookmarkStart w:id="704" w:name="_Toc466546934"/>
      <w:bookmarkStart w:id="705" w:name="_Toc23923"/>
      <w:bookmarkStart w:id="706" w:name="_Toc10523"/>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四</w:t>
      </w:r>
      <w:r>
        <w:rPr>
          <w:rFonts w:hint="eastAsia" w:ascii="方正仿宋_GBK" w:hAnsi="仿宋" w:eastAsia="仿宋" w:cs="仿宋"/>
          <w:color w:val="auto"/>
          <w:kern w:val="0"/>
          <w:szCs w:val="28"/>
          <w:highlight w:val="none"/>
        </w:rPr>
        <w:t>）采购人要求成交供应商提供履约保证金的，应当在</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文件中予以约定。成交供应商履约完毕后，采购人应按</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文件及合同的约定无息退还其履约保证金。</w:t>
      </w:r>
    </w:p>
    <w:bookmarkEnd w:id="703"/>
    <w:bookmarkEnd w:id="704"/>
    <w:bookmarkEnd w:id="705"/>
    <w:bookmarkEnd w:id="706"/>
    <w:p>
      <w:pPr>
        <w:spacing w:line="520" w:lineRule="exact"/>
        <w:ind w:firstLine="480" w:firstLineChars="200"/>
        <w:jc w:val="left"/>
        <w:rPr>
          <w:rFonts w:ascii="方正仿宋_GBK" w:hAnsi="仿宋" w:eastAsia="仿宋" w:cs="仿宋"/>
          <w:color w:val="auto"/>
          <w:kern w:val="0"/>
          <w:szCs w:val="28"/>
          <w:highlight w:val="none"/>
        </w:rPr>
      </w:pPr>
    </w:p>
    <w:p>
      <w:pPr>
        <w:pStyle w:val="14"/>
        <w:numPr>
          <w:ilvl w:val="0"/>
          <w:numId w:val="0"/>
        </w:numPr>
        <w:spacing w:beforeLines="50" w:afterLines="50"/>
        <w:ind w:leftChars="0"/>
        <w:jc w:val="center"/>
        <w:outlineLvl w:val="0"/>
        <w:rPr>
          <w:rFonts w:eastAsia="方正小标宋简体"/>
          <w:color w:val="auto"/>
          <w:sz w:val="44"/>
          <w:szCs w:val="22"/>
          <w:highlight w:val="none"/>
        </w:rPr>
      </w:pPr>
      <w:bookmarkStart w:id="707" w:name="_Toc384905082"/>
      <w:bookmarkStart w:id="708" w:name="_Toc409189639"/>
      <w:bookmarkStart w:id="709" w:name="_Toc349562392"/>
      <w:bookmarkStart w:id="710" w:name="_Toc384905319"/>
      <w:bookmarkStart w:id="711" w:name="_Toc384905081"/>
      <w:bookmarkStart w:id="712" w:name="_Toc32194"/>
      <w:r>
        <w:rPr>
          <w:rFonts w:hint="eastAsia"/>
          <w:color w:val="auto"/>
          <w:highlight w:val="none"/>
        </w:rPr>
        <w:br w:type="page"/>
      </w:r>
      <w:bookmarkEnd w:id="707"/>
      <w:bookmarkEnd w:id="708"/>
      <w:bookmarkEnd w:id="709"/>
      <w:bookmarkEnd w:id="710"/>
      <w:bookmarkEnd w:id="711"/>
      <w:bookmarkEnd w:id="712"/>
      <w:bookmarkStart w:id="713" w:name="_Toc12406"/>
      <w:bookmarkStart w:id="714" w:name="_Toc26489"/>
      <w:bookmarkStart w:id="715" w:name="_Toc9038"/>
      <w:bookmarkStart w:id="716" w:name="_Toc11222"/>
      <w:bookmarkStart w:id="717" w:name="_Toc3297"/>
      <w:bookmarkStart w:id="718" w:name="_Toc7981"/>
      <w:bookmarkStart w:id="719" w:name="_Toc11597"/>
      <w:bookmarkStart w:id="720" w:name="_Toc24340"/>
      <w:bookmarkStart w:id="721" w:name="_Toc10685"/>
      <w:bookmarkStart w:id="722" w:name="_Toc29176"/>
      <w:bookmarkStart w:id="723" w:name="_Toc21704"/>
      <w:bookmarkStart w:id="724" w:name="_Toc14959"/>
      <w:bookmarkStart w:id="725" w:name="_Toc22502"/>
      <w:bookmarkStart w:id="726" w:name="_Toc16475"/>
      <w:bookmarkStart w:id="727" w:name="_Toc1222"/>
      <w:bookmarkStart w:id="728" w:name="_Toc15701"/>
      <w:bookmarkStart w:id="729" w:name="_Toc10604"/>
      <w:bookmarkStart w:id="730" w:name="_Toc31518"/>
      <w:bookmarkStart w:id="731" w:name="_Toc1418"/>
      <w:bookmarkStart w:id="732" w:name="_Toc48837332"/>
      <w:bookmarkStart w:id="733" w:name="_Toc14671"/>
      <w:bookmarkStart w:id="734" w:name="_Toc6389"/>
      <w:bookmarkStart w:id="735" w:name="_Toc62"/>
      <w:bookmarkStart w:id="736" w:name="_Toc18341"/>
      <w:bookmarkStart w:id="737" w:name="_Toc2784"/>
      <w:bookmarkStart w:id="738" w:name="_Toc27745"/>
      <w:bookmarkStart w:id="739" w:name="_Toc1397"/>
      <w:r>
        <w:rPr>
          <w:rFonts w:hint="eastAsia" w:eastAsia="方正小标宋简体"/>
          <w:color w:val="auto"/>
          <w:sz w:val="44"/>
          <w:szCs w:val="22"/>
          <w:highlight w:val="none"/>
          <w:lang w:eastAsia="zh-CN"/>
        </w:rPr>
        <w:t>第六篇</w:t>
      </w:r>
      <w:r>
        <w:rPr>
          <w:rFonts w:hint="eastAsia" w:eastAsia="方正小标宋简体"/>
          <w:color w:val="auto"/>
          <w:sz w:val="44"/>
          <w:szCs w:val="22"/>
          <w:highlight w:val="none"/>
          <w:lang w:val="en-US" w:eastAsia="zh-CN"/>
        </w:rPr>
        <w:t xml:space="preserve"> </w:t>
      </w:r>
      <w:r>
        <w:rPr>
          <w:rFonts w:hint="eastAsia" w:eastAsia="方正小标宋简体"/>
          <w:color w:val="auto"/>
          <w:sz w:val="44"/>
          <w:szCs w:val="22"/>
          <w:highlight w:val="none"/>
        </w:rPr>
        <w:t>响应文件编制要求</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spacing w:line="520" w:lineRule="exact"/>
        <w:jc w:val="center"/>
        <w:rPr>
          <w:rFonts w:ascii="方正仿宋_GBK" w:hAnsi="仿宋" w:eastAsia="仿宋" w:cs="仿宋"/>
          <w:color w:val="auto"/>
          <w:kern w:val="0"/>
          <w:szCs w:val="28"/>
          <w:highlight w:val="none"/>
        </w:rPr>
      </w:pPr>
      <w:bookmarkStart w:id="740" w:name="_Toc6266"/>
      <w:r>
        <w:rPr>
          <w:rFonts w:hint="eastAsia" w:ascii="方正仿宋_GBK" w:hAnsi="仿宋" w:eastAsia="仿宋" w:cs="仿宋"/>
          <w:color w:val="auto"/>
          <w:kern w:val="0"/>
          <w:szCs w:val="28"/>
          <w:highlight w:val="none"/>
        </w:rPr>
        <w:t>（请按本篇要求提供，但不限于以下格式内容）</w:t>
      </w:r>
      <w:bookmarkEnd w:id="740"/>
    </w:p>
    <w:p>
      <w:pPr>
        <w:spacing w:line="520" w:lineRule="exact"/>
        <w:ind w:firstLine="482" w:firstLineChars="200"/>
        <w:jc w:val="left"/>
        <w:rPr>
          <w:rFonts w:ascii="方正仿宋_GBK" w:hAnsi="仿宋" w:eastAsia="仿宋" w:cs="仿宋"/>
          <w:b/>
          <w:bCs/>
          <w:color w:val="auto"/>
          <w:kern w:val="0"/>
          <w:szCs w:val="28"/>
          <w:highlight w:val="none"/>
        </w:rPr>
      </w:pPr>
      <w:bookmarkStart w:id="741" w:name="_Toc77"/>
      <w:bookmarkStart w:id="742" w:name="_Toc32499"/>
      <w:bookmarkStart w:id="743" w:name="_Toc11294"/>
      <w:bookmarkStart w:id="744" w:name="_Toc25050"/>
      <w:bookmarkStart w:id="745" w:name="_Toc8257"/>
      <w:bookmarkStart w:id="746" w:name="_Toc30136"/>
      <w:bookmarkStart w:id="747" w:name="_Toc14604"/>
      <w:bookmarkStart w:id="748" w:name="_Toc27020"/>
      <w:bookmarkStart w:id="749" w:name="_Toc20237"/>
      <w:bookmarkStart w:id="750" w:name="_Toc25677"/>
      <w:bookmarkStart w:id="751" w:name="_Toc13389"/>
      <w:bookmarkStart w:id="752" w:name="_Toc27313"/>
      <w:bookmarkStart w:id="753" w:name="_Toc24945"/>
      <w:bookmarkStart w:id="754" w:name="_Toc2401"/>
      <w:bookmarkStart w:id="755" w:name="_Toc20689"/>
      <w:bookmarkStart w:id="756" w:name="_Toc19046"/>
      <w:bookmarkStart w:id="757" w:name="_Toc6158"/>
      <w:bookmarkStart w:id="758" w:name="_Toc22325"/>
      <w:bookmarkStart w:id="759" w:name="_Toc23423"/>
      <w:bookmarkStart w:id="760" w:name="_Toc8433"/>
      <w:bookmarkStart w:id="761" w:name="_Toc18828"/>
      <w:bookmarkStart w:id="762" w:name="_Toc31702"/>
      <w:bookmarkStart w:id="763" w:name="_Toc20288"/>
      <w:bookmarkStart w:id="764" w:name="_Toc969"/>
      <w:r>
        <w:rPr>
          <w:rFonts w:hint="eastAsia" w:ascii="方正仿宋_GBK" w:hAnsi="仿宋" w:eastAsia="仿宋" w:cs="仿宋"/>
          <w:b/>
          <w:bCs/>
          <w:color w:val="auto"/>
          <w:kern w:val="0"/>
          <w:szCs w:val="28"/>
          <w:highlight w:val="none"/>
        </w:rPr>
        <w:t>一、经济部分</w:t>
      </w:r>
      <w:bookmarkEnd w:id="741"/>
      <w:bookmarkEnd w:id="742"/>
      <w:bookmarkEnd w:id="743"/>
      <w:bookmarkEnd w:id="744"/>
      <w:bookmarkEnd w:id="745"/>
      <w:bookmarkEnd w:id="746"/>
      <w:bookmarkEnd w:id="747"/>
      <w:bookmarkEnd w:id="748"/>
      <w:bookmarkEnd w:id="749"/>
      <w:bookmarkEnd w:id="750"/>
      <w:bookmarkEnd w:id="751"/>
      <w:bookmarkEnd w:id="752"/>
    </w:p>
    <w:p>
      <w:pPr>
        <w:spacing w:line="520" w:lineRule="exact"/>
        <w:ind w:firstLine="480" w:firstLineChars="200"/>
        <w:jc w:val="left"/>
        <w:rPr>
          <w:rFonts w:hint="eastAsia" w:ascii="方正仿宋_GBK" w:hAnsi="仿宋" w:eastAsia="仿宋" w:cs="仿宋"/>
          <w:b/>
          <w:bCs/>
          <w:color w:val="auto"/>
          <w:kern w:val="0"/>
          <w:szCs w:val="28"/>
          <w:highlight w:val="none"/>
          <w:lang w:eastAsia="zh-CN"/>
        </w:rPr>
      </w:pPr>
      <w:r>
        <w:rPr>
          <w:rFonts w:hint="eastAsia" w:ascii="方正仿宋_GBK" w:hAnsi="仿宋" w:eastAsia="仿宋" w:cs="仿宋"/>
          <w:color w:val="auto"/>
          <w:kern w:val="0"/>
          <w:szCs w:val="28"/>
          <w:highlight w:val="none"/>
        </w:rPr>
        <w:t>（一）报价函</w:t>
      </w:r>
    </w:p>
    <w:p>
      <w:pPr>
        <w:spacing w:line="520" w:lineRule="exact"/>
        <w:ind w:firstLine="482" w:firstLineChars="200"/>
        <w:jc w:val="left"/>
        <w:rPr>
          <w:rFonts w:ascii="方正仿宋_GBK" w:hAnsi="仿宋" w:eastAsia="仿宋" w:cs="仿宋"/>
          <w:b/>
          <w:bCs/>
          <w:color w:val="auto"/>
          <w:kern w:val="0"/>
          <w:szCs w:val="28"/>
          <w:highlight w:val="none"/>
        </w:rPr>
      </w:pPr>
      <w:r>
        <w:rPr>
          <w:rFonts w:hint="eastAsia" w:ascii="方正仿宋_GBK" w:hAnsi="仿宋" w:eastAsia="仿宋" w:cs="仿宋"/>
          <w:b/>
          <w:bCs/>
          <w:color w:val="auto"/>
          <w:kern w:val="0"/>
          <w:szCs w:val="28"/>
          <w:highlight w:val="none"/>
          <w:lang w:eastAsia="zh-CN"/>
        </w:rPr>
        <w:t>二</w:t>
      </w:r>
      <w:r>
        <w:rPr>
          <w:rFonts w:hint="eastAsia" w:ascii="方正仿宋_GBK" w:hAnsi="仿宋" w:eastAsia="仿宋" w:cs="仿宋"/>
          <w:b/>
          <w:bCs/>
          <w:color w:val="auto"/>
          <w:kern w:val="0"/>
          <w:szCs w:val="28"/>
          <w:highlight w:val="none"/>
        </w:rPr>
        <w:t>、服务部分</w:t>
      </w:r>
      <w:bookmarkEnd w:id="753"/>
      <w:bookmarkEnd w:id="754"/>
      <w:bookmarkEnd w:id="755"/>
      <w:bookmarkEnd w:id="756"/>
      <w:bookmarkEnd w:id="757"/>
      <w:bookmarkEnd w:id="758"/>
      <w:bookmarkEnd w:id="759"/>
      <w:bookmarkEnd w:id="760"/>
      <w:bookmarkEnd w:id="761"/>
      <w:bookmarkEnd w:id="762"/>
      <w:bookmarkEnd w:id="763"/>
      <w:bookmarkEnd w:id="764"/>
    </w:p>
    <w:p>
      <w:pPr>
        <w:spacing w:line="520" w:lineRule="exact"/>
        <w:ind w:firstLine="480" w:firstLineChars="200"/>
        <w:jc w:val="left"/>
        <w:rPr>
          <w:rFonts w:ascii="方正仿宋_GBK" w:hAnsi="仿宋" w:eastAsia="仿宋" w:cs="仿宋"/>
          <w:color w:val="auto"/>
          <w:kern w:val="0"/>
          <w:szCs w:val="28"/>
          <w:highlight w:val="none"/>
        </w:rPr>
      </w:pPr>
      <w:bookmarkStart w:id="765" w:name="_Toc15365"/>
      <w:bookmarkStart w:id="766" w:name="_Toc20631"/>
      <w:bookmarkStart w:id="767" w:name="_Toc28516"/>
      <w:bookmarkStart w:id="768" w:name="_Toc16158"/>
      <w:bookmarkStart w:id="769" w:name="_Toc21499"/>
      <w:bookmarkStart w:id="770" w:name="_Toc30039"/>
      <w:bookmarkStart w:id="771" w:name="_Toc13997"/>
      <w:bookmarkStart w:id="772" w:name="_Toc29524"/>
      <w:bookmarkStart w:id="773" w:name="_Toc25754"/>
      <w:bookmarkStart w:id="774" w:name="_Toc1765"/>
      <w:bookmarkStart w:id="775" w:name="_Toc14173"/>
      <w:bookmarkStart w:id="776" w:name="_Toc30337"/>
      <w:r>
        <w:rPr>
          <w:rFonts w:hint="eastAsia" w:ascii="方正仿宋_GBK" w:hAnsi="仿宋" w:eastAsia="仿宋" w:cs="仿宋"/>
          <w:color w:val="auto"/>
          <w:kern w:val="0"/>
          <w:szCs w:val="28"/>
          <w:highlight w:val="none"/>
        </w:rPr>
        <w:t>（一）服务响应差异表</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文件第二篇所需方案或证明材料（如果有）</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文件第四篇评审标准“服务部分”所要求的方案或证明材料</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（四）其他响应</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文件提供的服务文件</w:t>
      </w:r>
    </w:p>
    <w:p>
      <w:pPr>
        <w:spacing w:line="520" w:lineRule="exact"/>
        <w:ind w:firstLine="482" w:firstLineChars="200"/>
        <w:jc w:val="left"/>
        <w:rPr>
          <w:rFonts w:ascii="方正仿宋_GBK" w:hAnsi="仿宋" w:eastAsia="仿宋" w:cs="仿宋"/>
          <w:b/>
          <w:bCs/>
          <w:color w:val="auto"/>
          <w:kern w:val="0"/>
          <w:szCs w:val="28"/>
          <w:highlight w:val="none"/>
        </w:rPr>
      </w:pPr>
      <w:r>
        <w:rPr>
          <w:rFonts w:hint="eastAsia" w:ascii="方正仿宋_GBK" w:hAnsi="仿宋" w:eastAsia="仿宋" w:cs="仿宋"/>
          <w:b/>
          <w:bCs/>
          <w:color w:val="auto"/>
          <w:kern w:val="0"/>
          <w:szCs w:val="28"/>
          <w:highlight w:val="none"/>
          <w:lang w:eastAsia="zh-CN"/>
        </w:rPr>
        <w:t>三</w:t>
      </w:r>
      <w:r>
        <w:rPr>
          <w:rFonts w:hint="eastAsia" w:ascii="方正仿宋_GBK" w:hAnsi="仿宋" w:eastAsia="仿宋" w:cs="仿宋"/>
          <w:b/>
          <w:bCs/>
          <w:color w:val="auto"/>
          <w:kern w:val="0"/>
          <w:szCs w:val="28"/>
          <w:highlight w:val="none"/>
        </w:rPr>
        <w:t>、商务部分</w:t>
      </w:r>
      <w:bookmarkEnd w:id="765"/>
      <w:bookmarkEnd w:id="766"/>
      <w:bookmarkEnd w:id="767"/>
      <w:bookmarkEnd w:id="768"/>
      <w:bookmarkEnd w:id="769"/>
      <w:bookmarkEnd w:id="770"/>
      <w:bookmarkEnd w:id="771"/>
      <w:bookmarkEnd w:id="772"/>
      <w:bookmarkEnd w:id="773"/>
      <w:bookmarkEnd w:id="774"/>
      <w:bookmarkEnd w:id="775"/>
      <w:bookmarkEnd w:id="776"/>
    </w:p>
    <w:p>
      <w:pPr>
        <w:spacing w:line="520" w:lineRule="exact"/>
        <w:ind w:firstLine="480" w:firstLineChars="200"/>
        <w:jc w:val="left"/>
        <w:rPr>
          <w:rFonts w:ascii="方正仿宋_GBK" w:hAnsi="仿宋" w:eastAsia="仿宋" w:cs="仿宋"/>
          <w:color w:val="auto"/>
          <w:kern w:val="0"/>
          <w:szCs w:val="28"/>
          <w:highlight w:val="none"/>
        </w:rPr>
      </w:pPr>
      <w:bookmarkStart w:id="777" w:name="_Toc12483"/>
      <w:bookmarkStart w:id="778" w:name="_Toc26230"/>
      <w:bookmarkStart w:id="779" w:name="_Toc20217"/>
      <w:bookmarkStart w:id="780" w:name="_Toc30182"/>
      <w:bookmarkStart w:id="781" w:name="_Toc12818"/>
      <w:bookmarkStart w:id="782" w:name="_Toc2821"/>
      <w:bookmarkStart w:id="783" w:name="_Toc28208"/>
      <w:bookmarkStart w:id="784" w:name="_Toc29922"/>
      <w:bookmarkStart w:id="785" w:name="_Toc15693"/>
      <w:bookmarkStart w:id="786" w:name="_Toc17364"/>
      <w:bookmarkStart w:id="787" w:name="_Toc30328"/>
      <w:bookmarkStart w:id="788" w:name="_Toc29770"/>
      <w:r>
        <w:rPr>
          <w:rFonts w:hint="eastAsia" w:ascii="方正仿宋_GBK" w:hAnsi="仿宋" w:eastAsia="仿宋" w:cs="仿宋"/>
          <w:color w:val="auto"/>
          <w:kern w:val="0"/>
          <w:szCs w:val="28"/>
          <w:highlight w:val="none"/>
        </w:rPr>
        <w:t>（一）商务响应差异表</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文件第三篇所需证明材料（如果有）</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文件第四篇评审标准“商务部分”所要求的证明材料</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（四）其他响应</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文件提供的商务文件</w:t>
      </w:r>
    </w:p>
    <w:bookmarkEnd w:id="777"/>
    <w:bookmarkEnd w:id="778"/>
    <w:bookmarkEnd w:id="779"/>
    <w:bookmarkEnd w:id="780"/>
    <w:bookmarkEnd w:id="781"/>
    <w:bookmarkEnd w:id="782"/>
    <w:bookmarkEnd w:id="783"/>
    <w:bookmarkEnd w:id="784"/>
    <w:bookmarkEnd w:id="785"/>
    <w:bookmarkEnd w:id="786"/>
    <w:bookmarkEnd w:id="787"/>
    <w:bookmarkEnd w:id="788"/>
    <w:p>
      <w:pPr>
        <w:spacing w:line="520" w:lineRule="exact"/>
        <w:ind w:firstLine="482" w:firstLineChars="200"/>
        <w:jc w:val="left"/>
        <w:rPr>
          <w:rFonts w:ascii="方正仿宋_GBK" w:hAnsi="仿宋" w:eastAsia="仿宋" w:cs="仿宋"/>
          <w:b/>
          <w:bCs/>
          <w:color w:val="auto"/>
          <w:kern w:val="0"/>
          <w:szCs w:val="28"/>
          <w:highlight w:val="none"/>
        </w:rPr>
      </w:pPr>
      <w:bookmarkStart w:id="789" w:name="_Toc13708"/>
      <w:bookmarkStart w:id="790" w:name="_Toc3091"/>
      <w:bookmarkStart w:id="791" w:name="_Toc17752"/>
      <w:bookmarkStart w:id="792" w:name="_Toc29479"/>
      <w:bookmarkStart w:id="793" w:name="_Toc12300"/>
      <w:bookmarkStart w:id="794" w:name="_Toc16187"/>
      <w:bookmarkStart w:id="795" w:name="_Toc28176"/>
      <w:bookmarkStart w:id="796" w:name="_Toc1848"/>
      <w:bookmarkStart w:id="797" w:name="_Toc16026"/>
      <w:bookmarkStart w:id="798" w:name="_Toc18716"/>
      <w:bookmarkStart w:id="799" w:name="_Toc27590"/>
      <w:bookmarkStart w:id="800" w:name="_Toc27529"/>
      <w:r>
        <w:rPr>
          <w:rFonts w:hint="eastAsia" w:ascii="方正仿宋_GBK" w:hAnsi="仿宋" w:eastAsia="仿宋" w:cs="仿宋"/>
          <w:b/>
          <w:bCs/>
          <w:color w:val="auto"/>
          <w:kern w:val="0"/>
          <w:szCs w:val="28"/>
          <w:highlight w:val="none"/>
          <w:lang w:eastAsia="zh-CN"/>
        </w:rPr>
        <w:t>四</w:t>
      </w:r>
      <w:r>
        <w:rPr>
          <w:rFonts w:hint="eastAsia" w:ascii="方正仿宋_GBK" w:hAnsi="仿宋" w:eastAsia="仿宋" w:cs="仿宋"/>
          <w:b/>
          <w:bCs/>
          <w:color w:val="auto"/>
          <w:kern w:val="0"/>
          <w:szCs w:val="28"/>
          <w:highlight w:val="none"/>
        </w:rPr>
        <w:t>、资格</w:t>
      </w:r>
      <w:bookmarkEnd w:id="789"/>
      <w:r>
        <w:rPr>
          <w:rFonts w:hint="eastAsia" w:ascii="方正仿宋_GBK" w:hAnsi="仿宋" w:eastAsia="仿宋" w:cs="仿宋"/>
          <w:b/>
          <w:bCs/>
          <w:color w:val="auto"/>
          <w:kern w:val="0"/>
          <w:szCs w:val="28"/>
          <w:highlight w:val="none"/>
        </w:rPr>
        <w:t>文件</w:t>
      </w:r>
      <w:bookmarkEnd w:id="790"/>
      <w:bookmarkEnd w:id="791"/>
      <w:bookmarkEnd w:id="792"/>
      <w:bookmarkEnd w:id="793"/>
      <w:bookmarkEnd w:id="794"/>
      <w:bookmarkEnd w:id="795"/>
      <w:bookmarkEnd w:id="796"/>
      <w:bookmarkEnd w:id="797"/>
      <w:bookmarkEnd w:id="798"/>
      <w:bookmarkEnd w:id="799"/>
      <w:bookmarkEnd w:id="800"/>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（一）法人营业执照（副本）或事业单位法人证书（副本）或个体工商户营业执照或有效的自然人身份证明或社会团体法人登记证书复印件</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（二）法定代表人身份证明书（格式）</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（三）法定代表人授权委托书（格式）</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（四）基本资格条件承诺函（格式）</w:t>
      </w:r>
    </w:p>
    <w:p>
      <w:pPr>
        <w:spacing w:line="520" w:lineRule="exact"/>
        <w:ind w:firstLine="480" w:firstLineChars="200"/>
        <w:jc w:val="left"/>
        <w:rPr>
          <w:rFonts w:hint="eastAsia" w:ascii="方正仿宋_GBK" w:hAnsi="仿宋" w:eastAsia="方正仿宋_GBK" w:cs="仿宋"/>
          <w:color w:val="auto"/>
          <w:kern w:val="0"/>
          <w:szCs w:val="28"/>
          <w:highlight w:val="none"/>
          <w:lang w:val="en-US" w:eastAsia="zh-CN"/>
        </w:rPr>
      </w:pPr>
      <w:r>
        <w:rPr>
          <w:rFonts w:hint="eastAsia" w:ascii="方正仿宋_GBK" w:hAnsi="仿宋" w:eastAsia="方正仿宋_GBK" w:cs="仿宋"/>
          <w:color w:val="auto"/>
          <w:kern w:val="0"/>
          <w:szCs w:val="28"/>
          <w:highlight w:val="none"/>
          <w:lang w:val="en-US" w:eastAsia="zh-CN"/>
        </w:rPr>
        <w:t>（</w:t>
      </w:r>
      <w:r>
        <w:rPr>
          <w:rFonts w:hint="eastAsia" w:ascii="方正仿宋_GBK" w:hAnsi="仿宋" w:cs="仿宋"/>
          <w:color w:val="auto"/>
          <w:kern w:val="0"/>
          <w:szCs w:val="28"/>
          <w:highlight w:val="none"/>
          <w:lang w:val="en-US" w:eastAsia="zh-CN"/>
        </w:rPr>
        <w:t>五</w:t>
      </w:r>
      <w:r>
        <w:rPr>
          <w:rFonts w:hint="eastAsia" w:ascii="方正仿宋_GBK" w:hAnsi="仿宋" w:eastAsia="方正仿宋_GBK" w:cs="仿宋"/>
          <w:color w:val="auto"/>
          <w:kern w:val="0"/>
          <w:szCs w:val="28"/>
          <w:highlight w:val="none"/>
          <w:lang w:val="en-US" w:eastAsia="zh-CN"/>
        </w:rPr>
        <w:t>）特定资格条件证书或证明文件</w:t>
      </w:r>
    </w:p>
    <w:p>
      <w:pPr>
        <w:pStyle w:val="14"/>
        <w:spacing w:line="520" w:lineRule="exact"/>
        <w:jc w:val="both"/>
        <w:rPr>
          <w:rFonts w:ascii="仿宋" w:hAnsi="仿宋" w:eastAsia="仿宋"/>
          <w:color w:val="auto"/>
          <w:sz w:val="24"/>
          <w:szCs w:val="28"/>
          <w:highlight w:val="none"/>
        </w:rPr>
        <w:sectPr>
          <w:headerReference r:id="rId7"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r>
        <w:rPr>
          <w:rFonts w:hint="eastAsia" w:ascii="方正仿宋_GBK" w:hAnsi="仿宋" w:eastAsia="方正仿宋_GBK" w:cs="仿宋"/>
          <w:color w:val="auto"/>
          <w:kern w:val="0"/>
          <w:sz w:val="24"/>
          <w:szCs w:val="28"/>
          <w:highlight w:val="none"/>
          <w:lang w:val="en-US" w:eastAsia="zh-CN" w:bidi="ar-SA"/>
        </w:rPr>
        <w:t>说明：供应商按“多证合一”登记制度办理营业执照的，税务登记证（副本）和社会保险登记证以供应商所提供的法人营业执照（副本）复印件为准。</w:t>
      </w:r>
      <w:r>
        <w:rPr>
          <w:rFonts w:ascii="宋体" w:hAnsi="宋体" w:eastAsia="仿宋"/>
          <w:bCs/>
          <w:color w:val="auto"/>
          <w:highlight w:val="none"/>
        </w:rPr>
        <w:br w:type="page"/>
      </w:r>
      <w:bookmarkStart w:id="801" w:name="_Toc31684"/>
      <w:bookmarkStart w:id="802" w:name="_Toc22054"/>
      <w:bookmarkStart w:id="803" w:name="_Toc27814"/>
      <w:bookmarkStart w:id="804" w:name="_Toc14882"/>
      <w:bookmarkStart w:id="805" w:name="_Toc19026"/>
      <w:bookmarkStart w:id="806" w:name="_Toc23128"/>
      <w:bookmarkStart w:id="807" w:name="_Toc11931"/>
      <w:bookmarkStart w:id="808" w:name="_Toc20747"/>
      <w:bookmarkStart w:id="809" w:name="_Toc19211"/>
      <w:bookmarkStart w:id="810" w:name="_Toc48837334"/>
      <w:bookmarkStart w:id="811" w:name="_Toc29192"/>
      <w:bookmarkStart w:id="812" w:name="_Toc20381"/>
      <w:bookmarkStart w:id="813" w:name="_Toc5052"/>
      <w:bookmarkStart w:id="814" w:name="_Toc8363"/>
      <w:bookmarkStart w:id="815" w:name="_Toc12729"/>
      <w:bookmarkStart w:id="816" w:name="_Toc3620"/>
      <w:bookmarkStart w:id="817" w:name="_Toc24441"/>
      <w:bookmarkStart w:id="818" w:name="_Toc17120"/>
      <w:bookmarkStart w:id="819" w:name="_Toc9141"/>
      <w:bookmarkStart w:id="820" w:name="_Toc25703"/>
      <w:bookmarkStart w:id="821" w:name="_Toc16499"/>
      <w:bookmarkStart w:id="822" w:name="_Toc26656"/>
      <w:bookmarkStart w:id="823" w:name="_Toc166"/>
      <w:bookmarkStart w:id="824" w:name="_Toc161727398"/>
    </w:p>
    <w:p>
      <w:pPr>
        <w:spacing w:line="520" w:lineRule="exact"/>
        <w:ind w:firstLine="482" w:firstLineChars="200"/>
        <w:jc w:val="left"/>
        <w:outlineLvl w:val="1"/>
        <w:rPr>
          <w:rFonts w:ascii="方正仿宋_GBK" w:hAnsi="仿宋" w:eastAsia="仿宋" w:cs="仿宋"/>
          <w:b/>
          <w:bCs/>
          <w:color w:val="auto"/>
          <w:kern w:val="0"/>
          <w:szCs w:val="28"/>
          <w:highlight w:val="none"/>
        </w:rPr>
      </w:pPr>
      <w:bookmarkStart w:id="825" w:name="_Toc19023"/>
      <w:bookmarkStart w:id="826" w:name="_Toc21792"/>
      <w:bookmarkStart w:id="827" w:name="_Toc28175"/>
      <w:bookmarkStart w:id="828" w:name="_Toc15293"/>
      <w:bookmarkStart w:id="829" w:name="_Toc28394"/>
      <w:bookmarkStart w:id="830" w:name="_Toc18483"/>
      <w:bookmarkStart w:id="831" w:name="_Toc16090"/>
      <w:bookmarkStart w:id="832" w:name="_Toc10208"/>
      <w:bookmarkStart w:id="833" w:name="_Toc20852"/>
      <w:bookmarkStart w:id="834" w:name="_Toc30683"/>
      <w:bookmarkStart w:id="835" w:name="_Toc12741"/>
      <w:bookmarkStart w:id="836" w:name="_Toc20949"/>
      <w:bookmarkStart w:id="837" w:name="_Toc48837333"/>
      <w:bookmarkStart w:id="838" w:name="_Toc23265"/>
      <w:bookmarkStart w:id="839" w:name="_Toc15068"/>
      <w:bookmarkStart w:id="840" w:name="_Toc10090"/>
      <w:bookmarkStart w:id="841" w:name="_Toc25481"/>
      <w:bookmarkStart w:id="842" w:name="_Toc20934"/>
      <w:bookmarkStart w:id="843" w:name="_Toc3491"/>
      <w:bookmarkStart w:id="844" w:name="_Toc2635"/>
      <w:bookmarkStart w:id="845" w:name="_Toc25301"/>
      <w:bookmarkStart w:id="846" w:name="_Toc30105"/>
      <w:bookmarkStart w:id="847" w:name="_Toc21912"/>
      <w:bookmarkStart w:id="848" w:name="_Toc17660"/>
      <w:bookmarkStart w:id="849" w:name="_Toc29008"/>
      <w:bookmarkStart w:id="850" w:name="_Toc18058"/>
      <w:bookmarkStart w:id="851" w:name="_Toc5087"/>
      <w:bookmarkStart w:id="852" w:name="_Toc19311"/>
      <w:bookmarkStart w:id="853" w:name="_Toc24967"/>
      <w:bookmarkStart w:id="854" w:name="_Toc2481"/>
      <w:bookmarkStart w:id="855" w:name="_Toc14874"/>
      <w:r>
        <w:rPr>
          <w:rFonts w:hint="eastAsia" w:ascii="方正仿宋_GBK" w:hAnsi="仿宋" w:eastAsia="仿宋" w:cs="仿宋"/>
          <w:b/>
          <w:bCs/>
          <w:color w:val="auto"/>
          <w:kern w:val="0"/>
          <w:szCs w:val="28"/>
          <w:highlight w:val="none"/>
        </w:rPr>
        <w:t>一、经济部分</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spacing w:line="520" w:lineRule="exact"/>
        <w:ind w:firstLine="480" w:firstLineChars="200"/>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（一）磋商报价函</w:t>
      </w:r>
    </w:p>
    <w:p>
      <w:pPr>
        <w:spacing w:beforeLines="100" w:afterLines="100" w:line="520" w:lineRule="exact"/>
        <w:jc w:val="center"/>
        <w:rPr>
          <w:rFonts w:ascii="方正仿宋_GBK" w:hAnsi="仿宋" w:eastAsia="仿宋" w:cs="仿宋"/>
          <w:b/>
          <w:bCs/>
          <w:color w:val="auto"/>
          <w:kern w:val="0"/>
          <w:sz w:val="28"/>
          <w:szCs w:val="32"/>
          <w:highlight w:val="none"/>
        </w:rPr>
      </w:pPr>
      <w:r>
        <w:rPr>
          <w:rFonts w:hint="eastAsia" w:ascii="方正仿宋_GBK" w:hAnsi="仿宋" w:eastAsia="仿宋" w:cs="仿宋"/>
          <w:b/>
          <w:bCs/>
          <w:color w:val="auto"/>
          <w:kern w:val="0"/>
          <w:sz w:val="28"/>
          <w:szCs w:val="32"/>
          <w:highlight w:val="none"/>
        </w:rPr>
        <w:t>报价函</w:t>
      </w:r>
    </w:p>
    <w:p>
      <w:pPr>
        <w:spacing w:line="520" w:lineRule="exact"/>
        <w:ind w:firstLine="480" w:firstLineChars="200"/>
        <w:jc w:val="left"/>
        <w:rPr>
          <w:rFonts w:hint="eastAsia" w:ascii="方正仿宋_GBK" w:hAnsi="仿宋" w:eastAsia="仿宋" w:cs="仿宋"/>
          <w:color w:val="auto"/>
          <w:kern w:val="0"/>
          <w:szCs w:val="28"/>
          <w:highlight w:val="none"/>
          <w:u w:val="single"/>
          <w:lang w:val="en-US" w:eastAsia="zh-CN"/>
        </w:rPr>
      </w:pPr>
      <w:r>
        <w:rPr>
          <w:rFonts w:hint="eastAsia" w:ascii="方正仿宋_GBK" w:hAnsi="仿宋" w:eastAsia="仿宋" w:cs="仿宋"/>
          <w:color w:val="auto"/>
          <w:kern w:val="0"/>
          <w:szCs w:val="28"/>
          <w:highlight w:val="none"/>
        </w:rPr>
        <w:t>（采购</w:t>
      </w:r>
      <w:r>
        <w:rPr>
          <w:rFonts w:hint="eastAsia" w:ascii="方正仿宋_GBK" w:hAnsi="仿宋" w:eastAsia="仿宋" w:cs="仿宋"/>
          <w:color w:val="auto"/>
          <w:kern w:val="0"/>
          <w:szCs w:val="28"/>
          <w:highlight w:val="none"/>
          <w:lang w:eastAsia="zh-CN"/>
        </w:rPr>
        <w:t>人</w:t>
      </w:r>
      <w:r>
        <w:rPr>
          <w:rFonts w:hint="eastAsia" w:ascii="方正仿宋_GBK" w:hAnsi="仿宋" w:eastAsia="仿宋" w:cs="仿宋"/>
          <w:color w:val="auto"/>
          <w:kern w:val="0"/>
          <w:szCs w:val="28"/>
          <w:highlight w:val="none"/>
        </w:rPr>
        <w:t>名称）：</w:t>
      </w:r>
      <w:r>
        <w:rPr>
          <w:rFonts w:hint="eastAsia" w:ascii="方正仿宋_GBK" w:hAnsi="仿宋" w:eastAsia="仿宋" w:cs="仿宋"/>
          <w:color w:val="auto"/>
          <w:kern w:val="0"/>
          <w:szCs w:val="28"/>
          <w:highlight w:val="none"/>
          <w:u w:val="single"/>
          <w:lang w:val="en-US" w:eastAsia="zh-CN"/>
        </w:rPr>
        <w:t xml:space="preserve">                 </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我方收到</w:t>
      </w:r>
      <w:r>
        <w:rPr>
          <w:rFonts w:hint="eastAsia" w:ascii="方正仿宋_GBK" w:hAnsi="仿宋" w:eastAsia="仿宋" w:cs="仿宋"/>
          <w:color w:val="auto"/>
          <w:kern w:val="0"/>
          <w:szCs w:val="28"/>
          <w:highlight w:val="none"/>
          <w:lang w:val="en-US" w:eastAsia="zh-CN"/>
        </w:rPr>
        <w:t xml:space="preserve"> </w:t>
      </w:r>
      <w:r>
        <w:rPr>
          <w:rFonts w:hint="eastAsia" w:ascii="方正仿宋_GBK" w:hAnsi="仿宋" w:eastAsia="仿宋" w:cs="仿宋"/>
          <w:color w:val="auto"/>
          <w:kern w:val="0"/>
          <w:szCs w:val="28"/>
          <w:highlight w:val="none"/>
          <w:u w:val="single"/>
          <w:lang w:val="en-US" w:eastAsia="zh-CN"/>
        </w:rPr>
        <w:t xml:space="preserve">                 </w:t>
      </w:r>
      <w:r>
        <w:rPr>
          <w:rFonts w:hint="eastAsia" w:ascii="方正仿宋_GBK" w:hAnsi="仿宋" w:eastAsia="仿宋" w:cs="仿宋"/>
          <w:color w:val="auto"/>
          <w:kern w:val="0"/>
          <w:szCs w:val="28"/>
          <w:highlight w:val="none"/>
        </w:rPr>
        <w:t>（项目名称）的</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文件，经详细研究，决定参加该</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项目（项目号）。</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rPr>
        <w:t>愿意按照</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文件中的一切要求，提供本项目的技术服务，报价为</w:t>
      </w:r>
      <w:r>
        <w:rPr>
          <w:rFonts w:hint="eastAsia" w:ascii="方正仿宋_GBK" w:hAnsi="仿宋" w:eastAsia="仿宋" w:cs="仿宋"/>
          <w:color w:val="auto"/>
          <w:kern w:val="0"/>
          <w:szCs w:val="28"/>
          <w:highlight w:val="none"/>
          <w:lang w:eastAsia="zh-CN"/>
        </w:rPr>
        <w:t>：</w:t>
      </w:r>
    </w:p>
    <w:p>
      <w:pPr>
        <w:pStyle w:val="14"/>
        <w:ind w:firstLine="720" w:firstLineChars="300"/>
        <w:rPr>
          <w:rFonts w:hint="default" w:ascii="方正仿宋_GBK" w:hAnsi="仿宋" w:eastAsia="仿宋" w:cs="仿宋"/>
          <w:color w:val="auto"/>
          <w:kern w:val="0"/>
          <w:sz w:val="24"/>
          <w:szCs w:val="28"/>
          <w:highlight w:val="none"/>
          <w:u w:val="single"/>
          <w:lang w:val="en-US" w:eastAsia="zh-CN" w:bidi="ar-SA"/>
        </w:rPr>
      </w:pPr>
      <w:r>
        <w:rPr>
          <w:rFonts w:hint="eastAsia" w:ascii="方正仿宋_GBK" w:hAnsi="仿宋" w:eastAsia="仿宋" w:cs="仿宋"/>
          <w:color w:val="auto"/>
          <w:kern w:val="0"/>
          <w:sz w:val="24"/>
          <w:szCs w:val="28"/>
          <w:highlight w:val="none"/>
          <w:lang w:val="en-US" w:eastAsia="zh-CN" w:bidi="ar-SA"/>
        </w:rPr>
        <w:t>职工早餐</w:t>
      </w:r>
      <w:r>
        <w:rPr>
          <w:rFonts w:hint="eastAsia" w:ascii="方正仿宋_GBK" w:hAnsi="仿宋" w:eastAsia="仿宋" w:cs="仿宋"/>
          <w:color w:val="auto"/>
          <w:kern w:val="0"/>
          <w:sz w:val="24"/>
          <w:szCs w:val="28"/>
          <w:highlight w:val="none"/>
          <w:u w:val="none"/>
          <w:lang w:val="en-US" w:eastAsia="zh-CN" w:bidi="ar-SA"/>
        </w:rPr>
        <w:t>人民币大写：</w:t>
      </w:r>
      <w:r>
        <w:rPr>
          <w:rFonts w:hint="eastAsia" w:ascii="方正仿宋_GBK" w:hAnsi="仿宋" w:eastAsia="仿宋" w:cs="仿宋"/>
          <w:color w:val="auto"/>
          <w:kern w:val="0"/>
          <w:sz w:val="24"/>
          <w:szCs w:val="28"/>
          <w:highlight w:val="none"/>
          <w:u w:val="single"/>
          <w:lang w:val="en-US" w:eastAsia="zh-CN" w:bidi="ar-SA"/>
        </w:rPr>
        <w:t xml:space="preserve">                    </w:t>
      </w:r>
      <w:r>
        <w:rPr>
          <w:rFonts w:hint="eastAsia" w:ascii="方正仿宋_GBK" w:hAnsi="仿宋" w:eastAsia="仿宋" w:cs="仿宋"/>
          <w:color w:val="auto"/>
          <w:kern w:val="0"/>
          <w:sz w:val="24"/>
          <w:szCs w:val="28"/>
          <w:highlight w:val="none"/>
          <w:u w:val="none"/>
          <w:lang w:val="en-US" w:eastAsia="zh-CN" w:bidi="ar-SA"/>
        </w:rPr>
        <w:t>人民币小写：</w:t>
      </w:r>
      <w:r>
        <w:rPr>
          <w:rFonts w:hint="eastAsia" w:ascii="方正仿宋_GBK" w:hAnsi="仿宋" w:eastAsia="仿宋" w:cs="仿宋"/>
          <w:color w:val="auto"/>
          <w:kern w:val="0"/>
          <w:sz w:val="24"/>
          <w:szCs w:val="28"/>
          <w:highlight w:val="none"/>
          <w:u w:val="single"/>
          <w:lang w:val="en-US" w:eastAsia="zh-CN" w:bidi="ar-SA"/>
        </w:rPr>
        <w:t xml:space="preserve">                 </w:t>
      </w:r>
    </w:p>
    <w:p>
      <w:pPr>
        <w:pStyle w:val="14"/>
        <w:ind w:firstLine="720" w:firstLineChars="300"/>
        <w:rPr>
          <w:rFonts w:hint="default" w:ascii="方正仿宋_GBK" w:hAnsi="仿宋" w:eastAsia="仿宋" w:cs="仿宋"/>
          <w:color w:val="auto"/>
          <w:kern w:val="0"/>
          <w:sz w:val="24"/>
          <w:szCs w:val="28"/>
          <w:highlight w:val="none"/>
          <w:u w:val="single"/>
          <w:lang w:val="en-US" w:eastAsia="zh-CN" w:bidi="ar-SA"/>
        </w:rPr>
      </w:pPr>
      <w:r>
        <w:rPr>
          <w:rFonts w:hint="eastAsia" w:ascii="方正仿宋_GBK" w:hAnsi="仿宋" w:eastAsia="仿宋" w:cs="仿宋"/>
          <w:color w:val="auto"/>
          <w:kern w:val="0"/>
          <w:sz w:val="24"/>
          <w:szCs w:val="28"/>
          <w:highlight w:val="none"/>
          <w:lang w:val="en-US" w:eastAsia="zh-CN" w:bidi="ar-SA"/>
        </w:rPr>
        <w:t>职工午餐人民币大写：</w:t>
      </w:r>
      <w:r>
        <w:rPr>
          <w:rFonts w:hint="eastAsia" w:ascii="方正仿宋_GBK" w:hAnsi="仿宋" w:eastAsia="仿宋" w:cs="仿宋"/>
          <w:color w:val="auto"/>
          <w:kern w:val="0"/>
          <w:sz w:val="24"/>
          <w:szCs w:val="28"/>
          <w:highlight w:val="none"/>
          <w:u w:val="single"/>
          <w:lang w:val="en-US" w:eastAsia="zh-CN" w:bidi="ar-SA"/>
        </w:rPr>
        <w:t xml:space="preserve">                    </w:t>
      </w:r>
      <w:r>
        <w:rPr>
          <w:rFonts w:hint="eastAsia" w:ascii="方正仿宋_GBK" w:hAnsi="仿宋" w:eastAsia="仿宋" w:cs="仿宋"/>
          <w:color w:val="auto"/>
          <w:kern w:val="0"/>
          <w:sz w:val="24"/>
          <w:szCs w:val="28"/>
          <w:highlight w:val="none"/>
          <w:u w:val="none"/>
          <w:lang w:val="en-US" w:eastAsia="zh-CN" w:bidi="ar-SA"/>
        </w:rPr>
        <w:t>人民币小写：</w:t>
      </w:r>
      <w:r>
        <w:rPr>
          <w:rFonts w:hint="eastAsia" w:ascii="方正仿宋_GBK" w:hAnsi="仿宋" w:eastAsia="仿宋" w:cs="仿宋"/>
          <w:color w:val="auto"/>
          <w:kern w:val="0"/>
          <w:sz w:val="24"/>
          <w:szCs w:val="28"/>
          <w:highlight w:val="none"/>
          <w:u w:val="single"/>
          <w:lang w:val="en-US" w:eastAsia="zh-CN" w:bidi="ar-SA"/>
        </w:rPr>
        <w:t xml:space="preserve">                 </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2、我方现提交的响应文件为：响应文件正本</w:t>
      </w:r>
      <w:r>
        <w:rPr>
          <w:rFonts w:hint="eastAsia" w:ascii="方正仿宋_GBK" w:hAnsi="仿宋" w:eastAsia="仿宋" w:cs="仿宋"/>
          <w:color w:val="auto"/>
          <w:kern w:val="0"/>
          <w:szCs w:val="28"/>
          <w:highlight w:val="none"/>
          <w:u w:val="single"/>
          <w:lang w:val="en-US" w:eastAsia="zh-CN"/>
        </w:rPr>
        <w:t xml:space="preserve">   </w:t>
      </w:r>
      <w:r>
        <w:rPr>
          <w:rFonts w:hint="eastAsia" w:ascii="方正仿宋_GBK" w:hAnsi="仿宋" w:eastAsia="仿宋" w:cs="仿宋"/>
          <w:color w:val="auto"/>
          <w:kern w:val="0"/>
          <w:szCs w:val="28"/>
          <w:highlight w:val="none"/>
        </w:rPr>
        <w:t>份，副本</w:t>
      </w:r>
      <w:r>
        <w:rPr>
          <w:rFonts w:hint="eastAsia" w:ascii="方正仿宋_GBK" w:hAnsi="仿宋" w:eastAsia="仿宋" w:cs="仿宋"/>
          <w:color w:val="auto"/>
          <w:kern w:val="0"/>
          <w:szCs w:val="28"/>
          <w:highlight w:val="none"/>
          <w:u w:val="single"/>
          <w:lang w:val="en-US" w:eastAsia="zh-CN"/>
        </w:rPr>
        <w:t xml:space="preserve">   </w:t>
      </w:r>
      <w:r>
        <w:rPr>
          <w:rFonts w:hint="eastAsia" w:ascii="方正仿宋_GBK" w:hAnsi="仿宋" w:eastAsia="仿宋" w:cs="仿宋"/>
          <w:color w:val="auto"/>
          <w:kern w:val="0"/>
          <w:szCs w:val="28"/>
          <w:highlight w:val="none"/>
        </w:rPr>
        <w:t>份。</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3、我方承诺：本次</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的有效期为</w:t>
      </w:r>
      <w:r>
        <w:rPr>
          <w:rFonts w:hint="eastAsia" w:ascii="方正仿宋_GBK" w:hAnsi="仿宋" w:eastAsia="仿宋" w:cs="仿宋"/>
          <w:color w:val="auto"/>
          <w:kern w:val="0"/>
          <w:szCs w:val="28"/>
          <w:highlight w:val="none"/>
          <w:u w:val="single"/>
        </w:rPr>
        <w:t>90</w:t>
      </w:r>
      <w:r>
        <w:rPr>
          <w:rFonts w:hint="eastAsia" w:ascii="方正仿宋_GBK" w:hAnsi="仿宋" w:eastAsia="仿宋" w:cs="仿宋"/>
          <w:color w:val="auto"/>
          <w:kern w:val="0"/>
          <w:szCs w:val="28"/>
          <w:highlight w:val="none"/>
        </w:rPr>
        <w:t>天。</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4、我方完全理解和接受贵方</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文件的一切规定和要求及评审办法。</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5、在整个</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过程中，我方若有违规行为，接受按照</w:t>
      </w:r>
      <w:r>
        <w:rPr>
          <w:rFonts w:hint="eastAsia" w:ascii="方正仿宋_GBK" w:hAnsi="仿宋" w:eastAsia="仿宋" w:cs="仿宋"/>
          <w:color w:val="auto"/>
          <w:kern w:val="0"/>
          <w:szCs w:val="28"/>
          <w:highlight w:val="none"/>
          <w:lang w:eastAsia="zh-CN"/>
        </w:rPr>
        <w:t>采购人相关</w:t>
      </w:r>
      <w:r>
        <w:rPr>
          <w:rFonts w:hint="eastAsia" w:ascii="方正仿宋_GBK" w:hAnsi="仿宋" w:eastAsia="仿宋" w:cs="仿宋"/>
          <w:color w:val="auto"/>
          <w:kern w:val="0"/>
          <w:szCs w:val="28"/>
          <w:highlight w:val="none"/>
        </w:rPr>
        <w:t>规定给予惩罚。</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6、我方若成为成交供应商，将按照最终</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结果签订合同，并且严格履行合同义务。本承诺函将成为合同不可分割的一部分，与合同具有同等的法律效力。</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7、我方理解，最低报价不是成交的唯一条件。</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供应商（公章）或自然人签署：</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 xml:space="preserve">地址：  </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电话：                                             传真：</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网址：                                             邮编：</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联系人：</w:t>
      </w:r>
    </w:p>
    <w:p>
      <w:pPr>
        <w:spacing w:line="520" w:lineRule="exact"/>
        <w:ind w:firstLine="480" w:firstLineChars="200"/>
        <w:jc w:val="left"/>
        <w:rPr>
          <w:rFonts w:ascii="方正仿宋_GBK" w:hAnsi="仿宋" w:eastAsia="仿宋" w:cs="仿宋"/>
          <w:color w:val="auto"/>
          <w:kern w:val="0"/>
          <w:szCs w:val="28"/>
          <w:highlight w:val="none"/>
        </w:rPr>
      </w:pPr>
    </w:p>
    <w:p>
      <w:pPr>
        <w:spacing w:line="520" w:lineRule="exact"/>
        <w:ind w:firstLine="6480" w:firstLineChars="2700"/>
        <w:jc w:val="left"/>
        <w:outlineLvl w:val="1"/>
        <w:rPr>
          <w:rFonts w:hint="eastAsia" w:ascii="方正仿宋_GBK" w:hAnsi="仿宋" w:eastAsia="仿宋" w:cs="仿宋"/>
          <w:b/>
          <w:bCs/>
          <w:color w:val="auto"/>
          <w:kern w:val="0"/>
          <w:szCs w:val="28"/>
          <w:highlight w:val="none"/>
        </w:rPr>
      </w:pPr>
      <w:r>
        <w:rPr>
          <w:rFonts w:hint="eastAsia" w:ascii="方正仿宋_GBK" w:hAnsi="仿宋" w:eastAsia="仿宋" w:cs="仿宋"/>
          <w:color w:val="auto"/>
          <w:kern w:val="0"/>
          <w:szCs w:val="28"/>
          <w:highlight w:val="none"/>
        </w:rPr>
        <w:t>年   月   日</w:t>
      </w:r>
    </w:p>
    <w:p>
      <w:pPr>
        <w:spacing w:line="520" w:lineRule="exact"/>
        <w:ind w:firstLine="482" w:firstLineChars="200"/>
        <w:jc w:val="left"/>
        <w:outlineLvl w:val="1"/>
        <w:rPr>
          <w:rFonts w:hint="eastAsia" w:ascii="方正仿宋_GBK" w:hAnsi="仿宋" w:eastAsia="仿宋" w:cs="仿宋"/>
          <w:b/>
          <w:bCs/>
          <w:color w:val="auto"/>
          <w:kern w:val="0"/>
          <w:szCs w:val="28"/>
          <w:highlight w:val="none"/>
        </w:rPr>
      </w:pPr>
    </w:p>
    <w:p>
      <w:pPr>
        <w:spacing w:line="520" w:lineRule="exact"/>
        <w:ind w:firstLine="482" w:firstLineChars="200"/>
        <w:jc w:val="left"/>
        <w:outlineLvl w:val="1"/>
        <w:rPr>
          <w:rFonts w:hint="eastAsia" w:ascii="方正仿宋_GBK" w:hAnsi="仿宋" w:eastAsia="仿宋" w:cs="仿宋"/>
          <w:b/>
          <w:bCs/>
          <w:color w:val="auto"/>
          <w:kern w:val="0"/>
          <w:szCs w:val="28"/>
          <w:highlight w:val="none"/>
        </w:rPr>
      </w:pPr>
    </w:p>
    <w:p>
      <w:pPr>
        <w:spacing w:line="520" w:lineRule="exact"/>
        <w:ind w:firstLine="482" w:firstLineChars="200"/>
        <w:jc w:val="left"/>
        <w:outlineLvl w:val="1"/>
        <w:rPr>
          <w:rFonts w:hint="eastAsia" w:ascii="方正仿宋_GBK" w:hAnsi="仿宋" w:eastAsia="仿宋" w:cs="仿宋"/>
          <w:b/>
          <w:bCs/>
          <w:color w:val="auto"/>
          <w:kern w:val="0"/>
          <w:szCs w:val="28"/>
          <w:highlight w:val="none"/>
        </w:rPr>
      </w:pPr>
    </w:p>
    <w:p>
      <w:pPr>
        <w:spacing w:line="520" w:lineRule="exact"/>
        <w:ind w:firstLine="482" w:firstLineChars="200"/>
        <w:jc w:val="left"/>
        <w:outlineLvl w:val="1"/>
        <w:rPr>
          <w:rFonts w:hint="eastAsia" w:ascii="方正仿宋_GBK" w:hAnsi="仿宋" w:eastAsia="仿宋" w:cs="仿宋"/>
          <w:b/>
          <w:bCs/>
          <w:color w:val="auto"/>
          <w:kern w:val="0"/>
          <w:szCs w:val="28"/>
          <w:highlight w:val="none"/>
        </w:rPr>
      </w:pPr>
    </w:p>
    <w:p>
      <w:pPr>
        <w:spacing w:line="520" w:lineRule="exact"/>
        <w:ind w:firstLine="482" w:firstLineChars="200"/>
        <w:jc w:val="left"/>
        <w:outlineLvl w:val="1"/>
        <w:rPr>
          <w:rFonts w:ascii="方正仿宋_GBK" w:hAnsi="仿宋" w:eastAsia="仿宋" w:cs="仿宋"/>
          <w:b/>
          <w:bCs/>
          <w:color w:val="auto"/>
          <w:kern w:val="0"/>
          <w:szCs w:val="28"/>
          <w:highlight w:val="none"/>
        </w:rPr>
      </w:pPr>
      <w:r>
        <w:rPr>
          <w:rFonts w:hint="eastAsia" w:ascii="方正仿宋_GBK" w:hAnsi="仿宋" w:eastAsia="仿宋" w:cs="仿宋"/>
          <w:b/>
          <w:bCs/>
          <w:color w:val="auto"/>
          <w:kern w:val="0"/>
          <w:szCs w:val="28"/>
          <w:highlight w:val="none"/>
        </w:rPr>
        <w:t>二、服务部分</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52"/>
      <w:bookmarkEnd w:id="853"/>
      <w:bookmarkEnd w:id="854"/>
      <w:bookmarkEnd w:id="855"/>
    </w:p>
    <w:p>
      <w:pPr>
        <w:spacing w:line="520" w:lineRule="exact"/>
        <w:ind w:firstLine="480" w:firstLineChars="200"/>
        <w:jc w:val="left"/>
        <w:rPr>
          <w:rFonts w:ascii="仿宋" w:hAnsi="仿宋" w:eastAsia="仿宋" w:cs="仿宋"/>
          <w:color w:val="auto"/>
          <w:szCs w:val="22"/>
          <w:highlight w:val="none"/>
        </w:rPr>
      </w:pPr>
      <w:r>
        <w:rPr>
          <w:rFonts w:hint="eastAsia" w:ascii="方正仿宋_GBK" w:hAnsi="仿宋" w:eastAsia="仿宋" w:cs="仿宋"/>
          <w:color w:val="auto"/>
          <w:kern w:val="0"/>
          <w:szCs w:val="28"/>
          <w:highlight w:val="none"/>
        </w:rPr>
        <w:t>（一）</w:t>
      </w:r>
      <w:bookmarkStart w:id="856" w:name="_Hlk84672559"/>
      <w:r>
        <w:rPr>
          <w:rFonts w:hint="eastAsia" w:ascii="仿宋" w:hAnsi="仿宋" w:eastAsia="仿宋" w:cs="仿宋"/>
          <w:color w:val="auto"/>
          <w:szCs w:val="22"/>
          <w:highlight w:val="none"/>
        </w:rPr>
        <w:t>服务响应差异表</w:t>
      </w:r>
      <w:bookmarkEnd w:id="856"/>
    </w:p>
    <w:p>
      <w:pPr>
        <w:pStyle w:val="14"/>
        <w:spacing w:line="520" w:lineRule="exact"/>
        <w:jc w:val="center"/>
        <w:rPr>
          <w:rFonts w:ascii="仿宋" w:hAnsi="仿宋" w:eastAsia="仿宋"/>
          <w:b/>
          <w:bCs/>
          <w:color w:val="auto"/>
          <w:sz w:val="28"/>
          <w:szCs w:val="28"/>
          <w:highlight w:val="none"/>
        </w:rPr>
      </w:pPr>
      <w:bookmarkStart w:id="857" w:name="_Hlk84947197"/>
      <w:r>
        <w:rPr>
          <w:rFonts w:hint="eastAsia" w:ascii="仿宋" w:hAnsi="仿宋" w:eastAsia="仿宋" w:cs="仿宋"/>
          <w:b/>
          <w:bCs/>
          <w:color w:val="auto"/>
          <w:sz w:val="28"/>
          <w:szCs w:val="28"/>
          <w:highlight w:val="none"/>
        </w:rPr>
        <w:t>服务响应差异表</w:t>
      </w:r>
    </w:p>
    <w:p>
      <w:pPr>
        <w:pStyle w:val="14"/>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 目 号：</w:t>
      </w:r>
    </w:p>
    <w:p>
      <w:pPr>
        <w:pStyle w:val="14"/>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项目名称：</w:t>
      </w:r>
    </w:p>
    <w:tbl>
      <w:tblPr>
        <w:tblStyle w:val="25"/>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216"/>
        <w:gridCol w:w="321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216"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采购需求</w:t>
            </w:r>
          </w:p>
        </w:tc>
        <w:tc>
          <w:tcPr>
            <w:tcW w:w="3217"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响应应答</w:t>
            </w:r>
          </w:p>
        </w:tc>
        <w:tc>
          <w:tcPr>
            <w:tcW w:w="131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提醒：请注明具体内容以及响应文件中具体内容的位置（页码）</w:t>
            </w: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bl>
    <w:p>
      <w:pPr>
        <w:pStyle w:val="14"/>
        <w:rPr>
          <w:rFonts w:ascii="仿宋" w:hAnsi="仿宋" w:eastAsia="仿宋"/>
          <w:color w:val="auto"/>
          <w:sz w:val="24"/>
          <w:szCs w:val="28"/>
          <w:highlight w:val="none"/>
        </w:rPr>
      </w:pPr>
    </w:p>
    <w:p>
      <w:pPr>
        <w:pStyle w:val="14"/>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法定代表人（或法定代表人授权代表）或自然人：</w:t>
      </w:r>
    </w:p>
    <w:p>
      <w:pPr>
        <w:pStyle w:val="14"/>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w:t>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（签署或盖章）</w:t>
      </w:r>
    </w:p>
    <w:p>
      <w:pPr>
        <w:pStyle w:val="14"/>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 xml:space="preserve"> 年   月   日 </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注：</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1.本表即为对本项目“第二篇  </w:t>
      </w:r>
      <w:r>
        <w:rPr>
          <w:rFonts w:hint="eastAsia" w:ascii="仿宋" w:hAnsi="仿宋" w:eastAsia="仿宋"/>
          <w:color w:val="auto"/>
          <w:sz w:val="24"/>
          <w:szCs w:val="28"/>
          <w:highlight w:val="none"/>
          <w:lang w:eastAsia="zh-CN"/>
        </w:rPr>
        <w:t>采购</w:t>
      </w:r>
      <w:r>
        <w:rPr>
          <w:rFonts w:hint="eastAsia" w:ascii="仿宋" w:hAnsi="仿宋" w:eastAsia="仿宋"/>
          <w:color w:val="auto"/>
          <w:sz w:val="24"/>
          <w:szCs w:val="28"/>
          <w:highlight w:val="none"/>
        </w:rPr>
        <w:t>服务要求”中所列条款进行比较和响应，应逐条如实填写，“响应应答”中必须列出具体数值或内容。如供应商未应答或只注明“符合”、“满足”等类似无具体数值或内容的表述，视为不满足对应条款；</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2.该表必须按照</w:t>
      </w:r>
      <w:r>
        <w:rPr>
          <w:rFonts w:hint="eastAsia" w:ascii="仿宋" w:hAnsi="仿宋" w:eastAsia="仿宋"/>
          <w:color w:val="auto"/>
          <w:sz w:val="24"/>
          <w:szCs w:val="28"/>
          <w:highlight w:val="none"/>
          <w:lang w:eastAsia="zh-CN"/>
        </w:rPr>
        <w:t>比选</w:t>
      </w:r>
      <w:r>
        <w:rPr>
          <w:rFonts w:hint="eastAsia" w:ascii="仿宋" w:hAnsi="仿宋" w:eastAsia="仿宋"/>
          <w:color w:val="auto"/>
          <w:sz w:val="24"/>
          <w:szCs w:val="28"/>
          <w:highlight w:val="none"/>
        </w:rPr>
        <w:t>文件要求逐条如实填写，根据响应情况在“差异说明”项填写正偏离或负偏离及原因，完全符合的填写“无差异”；</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3.该表可扩展；</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olor w:val="auto"/>
          <w:sz w:val="24"/>
          <w:szCs w:val="28"/>
          <w:highlight w:val="none"/>
        </w:rPr>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 w:linePitch="380" w:charSpace="-5735"/>
        </w:sectPr>
      </w:pPr>
      <w:r>
        <w:rPr>
          <w:rFonts w:hint="eastAsia" w:ascii="仿宋" w:hAnsi="仿宋" w:eastAsia="仿宋"/>
          <w:color w:val="auto"/>
          <w:sz w:val="24"/>
          <w:szCs w:val="28"/>
          <w:highlight w:val="none"/>
        </w:rPr>
        <w:t>4.可附相关技术支撑材料（格式自定）。</w:t>
      </w:r>
      <w:bookmarkEnd w:id="857"/>
    </w:p>
    <w:p>
      <w:pPr>
        <w:pStyle w:val="14"/>
        <w:rPr>
          <w:color w:val="auto"/>
          <w:highlight w:val="none"/>
        </w:rPr>
      </w:pPr>
    </w:p>
    <w:p>
      <w:pPr>
        <w:spacing w:line="520" w:lineRule="exact"/>
        <w:ind w:firstLine="438" w:firstLineChars="200"/>
        <w:jc w:val="left"/>
        <w:rPr>
          <w:rFonts w:ascii="方正仿宋_GBK" w:hAnsi="仿宋" w:eastAsia="仿宋" w:cs="仿宋"/>
          <w:color w:val="auto"/>
          <w:kern w:val="0"/>
          <w:szCs w:val="28"/>
          <w:highlight w:val="none"/>
        </w:rPr>
      </w:pPr>
      <w:bookmarkStart w:id="858" w:name="_Toc15183"/>
      <w:bookmarkStart w:id="859" w:name="_Toc32284"/>
      <w:bookmarkStart w:id="860" w:name="_Toc12560"/>
      <w:bookmarkStart w:id="861" w:name="_Toc31094"/>
      <w:bookmarkStart w:id="862" w:name="_Toc14724"/>
      <w:bookmarkStart w:id="863" w:name="_Toc16645"/>
      <w:bookmarkStart w:id="864" w:name="_Toc14898"/>
      <w:bookmarkStart w:id="865" w:name="_Toc8882"/>
      <w:bookmarkStart w:id="866" w:name="_Toc5162"/>
      <w:bookmarkStart w:id="867" w:name="_Toc27019"/>
      <w:bookmarkStart w:id="868" w:name="_Toc2927"/>
      <w:bookmarkStart w:id="869" w:name="_Toc21013"/>
      <w:bookmarkStart w:id="870" w:name="_Toc32692"/>
      <w:bookmarkStart w:id="871" w:name="_Toc28468"/>
      <w:bookmarkStart w:id="872" w:name="_Toc9672"/>
      <w:bookmarkStart w:id="873" w:name="_Toc18917"/>
      <w:bookmarkStart w:id="874" w:name="_Toc7869"/>
      <w:bookmarkStart w:id="875" w:name="_Toc6021"/>
      <w:bookmarkStart w:id="876" w:name="_Toc48837335"/>
      <w:bookmarkStart w:id="877" w:name="_Toc6318"/>
      <w:bookmarkStart w:id="878" w:name="_Toc3263"/>
      <w:bookmarkStart w:id="879" w:name="_Toc10374"/>
      <w:bookmarkStart w:id="880" w:name="_Toc17866"/>
      <w:r>
        <w:rPr>
          <w:rFonts w:hint="eastAsia" w:ascii="方正仿宋_GBK" w:hAnsi="仿宋" w:eastAsia="仿宋" w:cs="仿宋"/>
          <w:color w:val="auto"/>
          <w:kern w:val="0"/>
          <w:szCs w:val="28"/>
          <w:highlight w:val="none"/>
        </w:rPr>
        <w:t>（二）</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文件第二篇所需方案或证明材料（如果有）</w:t>
      </w:r>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文件第四篇评审标准“服务部分”所要求的方案或证明材料</w:t>
      </w: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color w:val="auto"/>
          <w:highlight w:val="none"/>
        </w:rPr>
      </w:pPr>
      <w:r>
        <w:rPr>
          <w:rFonts w:hint="eastAsia" w:ascii="方正仿宋_GBK" w:hAnsi="仿宋" w:eastAsia="仿宋" w:cs="仿宋"/>
          <w:color w:val="auto"/>
          <w:kern w:val="0"/>
          <w:szCs w:val="28"/>
          <w:highlight w:val="none"/>
        </w:rPr>
        <w:t>（四）其他响应</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文件提供的服务文件</w:t>
      </w: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outlineLvl w:val="1"/>
        <w:rPr>
          <w:rFonts w:ascii="方正仿宋_GBK" w:hAnsi="仿宋" w:eastAsia="仿宋" w:cs="仿宋"/>
          <w:b/>
          <w:bCs/>
          <w:color w:val="auto"/>
          <w:kern w:val="0"/>
          <w:szCs w:val="28"/>
          <w:highlight w:val="none"/>
        </w:rPr>
      </w:pPr>
      <w:bookmarkStart w:id="881" w:name="_Toc29386"/>
      <w:bookmarkStart w:id="882" w:name="_Toc20336"/>
      <w:bookmarkStart w:id="883" w:name="_Toc20599"/>
      <w:bookmarkStart w:id="884" w:name="_Toc7024"/>
      <w:r>
        <w:rPr>
          <w:rFonts w:hint="eastAsia" w:ascii="方正仿宋_GBK" w:hAnsi="仿宋" w:eastAsia="仿宋" w:cs="仿宋"/>
          <w:b/>
          <w:bCs/>
          <w:color w:val="auto"/>
          <w:kern w:val="0"/>
          <w:szCs w:val="28"/>
          <w:highlight w:val="none"/>
        </w:rPr>
        <w:t>三、商务部分</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pStyle w:val="14"/>
        <w:spacing w:line="520" w:lineRule="exact"/>
        <w:ind w:firstLine="318" w:firstLineChars="200"/>
        <w:rPr>
          <w:rFonts w:ascii="仿宋" w:hAnsi="仿宋" w:eastAsia="仿宋"/>
          <w:color w:val="auto"/>
          <w:sz w:val="24"/>
          <w:szCs w:val="28"/>
          <w:highlight w:val="none"/>
        </w:rPr>
      </w:pPr>
      <w:r>
        <w:rPr>
          <w:rFonts w:hint="eastAsia" w:ascii="方正仿宋_GBK" w:hAnsi="仿宋" w:eastAsia="仿宋" w:cs="仿宋"/>
          <w:color w:val="auto"/>
          <w:kern w:val="0"/>
          <w:szCs w:val="28"/>
          <w:highlight w:val="none"/>
        </w:rPr>
        <w:t>（一）</w:t>
      </w:r>
      <w:r>
        <w:rPr>
          <w:rFonts w:hint="eastAsia" w:ascii="仿宋" w:hAnsi="仿宋" w:eastAsia="仿宋"/>
          <w:color w:val="auto"/>
          <w:sz w:val="24"/>
          <w:szCs w:val="28"/>
          <w:highlight w:val="none"/>
        </w:rPr>
        <w:t>商务响应差异表</w:t>
      </w:r>
    </w:p>
    <w:p>
      <w:pPr>
        <w:pStyle w:val="14"/>
        <w:spacing w:line="520" w:lineRule="exact"/>
        <w:jc w:val="center"/>
        <w:rPr>
          <w:rFonts w:ascii="仿宋" w:hAnsi="仿宋" w:eastAsia="仿宋"/>
          <w:b/>
          <w:bCs/>
          <w:color w:val="auto"/>
          <w:sz w:val="28"/>
          <w:szCs w:val="28"/>
          <w:highlight w:val="none"/>
        </w:rPr>
      </w:pPr>
      <w:bookmarkStart w:id="885" w:name="_Hlk84947424"/>
      <w:r>
        <w:rPr>
          <w:rFonts w:hint="eastAsia" w:ascii="仿宋" w:hAnsi="仿宋" w:eastAsia="仿宋"/>
          <w:b/>
          <w:bCs/>
          <w:color w:val="auto"/>
          <w:sz w:val="28"/>
          <w:szCs w:val="28"/>
          <w:highlight w:val="none"/>
        </w:rPr>
        <w:t>商务响应差异表</w:t>
      </w:r>
    </w:p>
    <w:p>
      <w:pPr>
        <w:pStyle w:val="14"/>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 目 号：</w:t>
      </w:r>
    </w:p>
    <w:p>
      <w:pPr>
        <w:pStyle w:val="14"/>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项目名称：</w:t>
      </w:r>
    </w:p>
    <w:tbl>
      <w:tblPr>
        <w:tblStyle w:val="25"/>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216"/>
        <w:gridCol w:w="321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216"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商务需求</w:t>
            </w:r>
          </w:p>
        </w:tc>
        <w:tc>
          <w:tcPr>
            <w:tcW w:w="3217"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商务应答</w:t>
            </w:r>
          </w:p>
        </w:tc>
        <w:tc>
          <w:tcPr>
            <w:tcW w:w="131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提醒：请注明具体内容以及响应文件中具体内容的位置（页码）</w:t>
            </w: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bl>
    <w:p>
      <w:pPr>
        <w:pStyle w:val="14"/>
        <w:spacing w:line="520" w:lineRule="exact"/>
        <w:ind w:firstLine="438" w:firstLineChars="200"/>
        <w:rPr>
          <w:rFonts w:ascii="仿宋" w:hAnsi="仿宋" w:eastAsia="仿宋"/>
          <w:color w:val="auto"/>
          <w:sz w:val="24"/>
          <w:szCs w:val="28"/>
          <w:highlight w:val="none"/>
        </w:rPr>
      </w:pPr>
    </w:p>
    <w:p>
      <w:pPr>
        <w:pStyle w:val="14"/>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法定代表人（或法定代表人授权代表）或自然人：</w:t>
      </w:r>
    </w:p>
    <w:p>
      <w:pPr>
        <w:pStyle w:val="14"/>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w:t>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（签署或盖章）</w:t>
      </w:r>
    </w:p>
    <w:p>
      <w:pPr>
        <w:pStyle w:val="14"/>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 xml:space="preserve"> 年   月   日 </w:t>
      </w:r>
    </w:p>
    <w:p>
      <w:pPr>
        <w:pStyle w:val="14"/>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注：</w:t>
      </w:r>
    </w:p>
    <w:p>
      <w:pPr>
        <w:pStyle w:val="14"/>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1.本表即为对本项目“第三篇 </w:t>
      </w:r>
      <w:r>
        <w:rPr>
          <w:rFonts w:hint="eastAsia" w:ascii="仿宋" w:hAnsi="仿宋" w:eastAsia="仿宋"/>
          <w:color w:val="auto"/>
          <w:sz w:val="24"/>
          <w:szCs w:val="28"/>
          <w:highlight w:val="none"/>
          <w:lang w:eastAsia="zh-CN"/>
        </w:rPr>
        <w:t>采购</w:t>
      </w:r>
      <w:r>
        <w:rPr>
          <w:rFonts w:hint="eastAsia" w:ascii="仿宋" w:hAnsi="仿宋" w:eastAsia="仿宋"/>
          <w:color w:val="auto"/>
          <w:sz w:val="24"/>
          <w:szCs w:val="28"/>
          <w:highlight w:val="none"/>
        </w:rPr>
        <w:t>商务要求”中所列条款进行比较和响应，应逐条如实填写，“商务应答”中必须列出具体数值或内容。如供应商未应答或只注明“符合”、“满足”等类似无具体数值或内容的表述，视为不满足相应条款；</w:t>
      </w:r>
    </w:p>
    <w:p>
      <w:pPr>
        <w:pStyle w:val="14"/>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2.该表必须按照</w:t>
      </w:r>
      <w:r>
        <w:rPr>
          <w:rFonts w:hint="eastAsia" w:ascii="仿宋" w:hAnsi="仿宋" w:eastAsia="仿宋"/>
          <w:color w:val="auto"/>
          <w:sz w:val="24"/>
          <w:szCs w:val="28"/>
          <w:highlight w:val="none"/>
          <w:lang w:eastAsia="zh-CN"/>
        </w:rPr>
        <w:t>比选</w:t>
      </w:r>
      <w:r>
        <w:rPr>
          <w:rFonts w:hint="eastAsia" w:ascii="仿宋" w:hAnsi="仿宋" w:eastAsia="仿宋"/>
          <w:color w:val="auto"/>
          <w:sz w:val="24"/>
          <w:szCs w:val="28"/>
          <w:highlight w:val="none"/>
        </w:rPr>
        <w:t>文件要求逐条如实填写，根据响应情况在“差异说明”项填写正偏离或负偏离及原因，完全符合的填写“无差异”；</w:t>
      </w:r>
    </w:p>
    <w:p>
      <w:pPr>
        <w:pStyle w:val="14"/>
        <w:spacing w:line="520" w:lineRule="exact"/>
        <w:ind w:firstLine="438" w:firstLineChars="200"/>
        <w:rPr>
          <w:rFonts w:ascii="方正仿宋_GBK" w:hAnsi="方正仿宋_GBK" w:eastAsia="仿宋" w:cs="方正仿宋_GBK"/>
          <w:color w:val="auto"/>
          <w:sz w:val="32"/>
          <w:szCs w:val="32"/>
          <w:highlight w:val="none"/>
        </w:rPr>
      </w:pPr>
      <w:r>
        <w:rPr>
          <w:rFonts w:hint="eastAsia" w:ascii="仿宋" w:hAnsi="仿宋" w:eastAsia="仿宋"/>
          <w:color w:val="auto"/>
          <w:sz w:val="24"/>
          <w:szCs w:val="28"/>
          <w:highlight w:val="none"/>
        </w:rPr>
        <w:t>3.该表可扩展。</w:t>
      </w:r>
      <w:bookmarkEnd w:id="885"/>
      <w:r>
        <w:rPr>
          <w:rFonts w:hint="eastAsia" w:ascii="仿宋" w:hAnsi="仿宋" w:eastAsia="仿宋"/>
          <w:color w:val="auto"/>
          <w:sz w:val="24"/>
          <w:szCs w:val="28"/>
          <w:highlight w:val="none"/>
        </w:rPr>
        <w:br w:type="page"/>
      </w:r>
      <w:bookmarkStart w:id="886" w:name="_Toc15373"/>
      <w:bookmarkStart w:id="887" w:name="_Toc5897"/>
      <w:bookmarkStart w:id="888" w:name="_Toc452628354"/>
    </w:p>
    <w:p>
      <w:pPr>
        <w:spacing w:line="520" w:lineRule="exact"/>
        <w:ind w:firstLine="438" w:firstLineChars="200"/>
        <w:jc w:val="left"/>
        <w:rPr>
          <w:rFonts w:ascii="方正仿宋_GBK" w:hAnsi="仿宋" w:eastAsia="仿宋" w:cs="仿宋"/>
          <w:color w:val="auto"/>
          <w:kern w:val="0"/>
          <w:szCs w:val="28"/>
          <w:highlight w:val="none"/>
        </w:rPr>
      </w:pPr>
      <w:bookmarkStart w:id="889" w:name="_Toc32724"/>
      <w:bookmarkStart w:id="890" w:name="_Toc4344"/>
      <w:bookmarkStart w:id="891" w:name="_Toc10702"/>
      <w:bookmarkStart w:id="892" w:name="_Toc21604"/>
      <w:bookmarkStart w:id="893" w:name="_Toc2377"/>
      <w:bookmarkStart w:id="894" w:name="_Toc7089"/>
      <w:bookmarkStart w:id="895" w:name="_Toc21874"/>
      <w:bookmarkStart w:id="896" w:name="_Toc19323"/>
      <w:bookmarkStart w:id="897" w:name="_Toc26260"/>
      <w:bookmarkStart w:id="898" w:name="_Toc27026"/>
      <w:bookmarkStart w:id="899" w:name="_Toc12077"/>
      <w:bookmarkStart w:id="900" w:name="_Toc15642"/>
      <w:bookmarkStart w:id="901" w:name="_Toc28744"/>
      <w:bookmarkStart w:id="902" w:name="_Toc32354"/>
      <w:bookmarkStart w:id="903" w:name="_Toc7378"/>
      <w:bookmarkStart w:id="904" w:name="_Toc27078"/>
      <w:bookmarkStart w:id="905" w:name="_Toc48837336"/>
      <w:bookmarkStart w:id="906" w:name="_Toc28265"/>
      <w:bookmarkStart w:id="907" w:name="_Toc14442"/>
      <w:bookmarkStart w:id="908" w:name="_Toc19720"/>
      <w:bookmarkStart w:id="909" w:name="_Toc1566"/>
      <w:bookmarkStart w:id="910" w:name="_Toc13377"/>
      <w:r>
        <w:rPr>
          <w:rFonts w:hint="eastAsia" w:ascii="方正仿宋_GBK" w:hAnsi="仿宋" w:eastAsia="仿宋" w:cs="仿宋"/>
          <w:color w:val="auto"/>
          <w:kern w:val="0"/>
          <w:szCs w:val="28"/>
          <w:highlight w:val="none"/>
        </w:rPr>
        <w:t>（二）</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文件第三篇所需证明材料（如果有）</w:t>
      </w:r>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文件第四篇评审标准“商务部分”所要求的证明材料</w:t>
      </w:r>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（四）其他响应</w:t>
      </w:r>
      <w:r>
        <w:rPr>
          <w:rFonts w:hint="eastAsia" w:ascii="方正仿宋_GBK" w:hAnsi="仿宋" w:eastAsia="仿宋" w:cs="仿宋"/>
          <w:color w:val="auto"/>
          <w:kern w:val="0"/>
          <w:szCs w:val="28"/>
          <w:highlight w:val="none"/>
          <w:lang w:eastAsia="zh-CN"/>
        </w:rPr>
        <w:t>比选</w:t>
      </w:r>
      <w:r>
        <w:rPr>
          <w:rFonts w:hint="eastAsia" w:ascii="方正仿宋_GBK" w:hAnsi="仿宋" w:eastAsia="仿宋" w:cs="仿宋"/>
          <w:color w:val="auto"/>
          <w:kern w:val="0"/>
          <w:szCs w:val="28"/>
          <w:highlight w:val="none"/>
        </w:rPr>
        <w:t>文件提供的商务文件</w:t>
      </w: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pStyle w:val="15"/>
        <w:rPr>
          <w:rFonts w:ascii="方正仿宋_GBK" w:hAnsi="仿宋" w:eastAsia="仿宋" w:cs="仿宋"/>
          <w:b/>
          <w:bCs/>
          <w:color w:val="auto"/>
          <w:kern w:val="0"/>
          <w:szCs w:val="28"/>
          <w:highlight w:val="none"/>
        </w:rPr>
      </w:pPr>
    </w:p>
    <w:p>
      <w:pPr>
        <w:pStyle w:val="15"/>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bookmarkEnd w:id="824"/>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Pr>
        <w:spacing w:line="520" w:lineRule="exact"/>
        <w:ind w:firstLine="438" w:firstLineChars="200"/>
        <w:jc w:val="left"/>
        <w:outlineLvl w:val="1"/>
        <w:rPr>
          <w:rFonts w:eastAsia="仿宋" w:cs="宋体"/>
          <w:b/>
          <w:bCs/>
          <w:color w:val="auto"/>
          <w:szCs w:val="28"/>
          <w:highlight w:val="none"/>
        </w:rPr>
      </w:pPr>
      <w:bookmarkStart w:id="911" w:name="_Toc48837337"/>
      <w:bookmarkStart w:id="912" w:name="_Toc2766"/>
      <w:bookmarkStart w:id="913" w:name="_Toc31891"/>
      <w:bookmarkStart w:id="914" w:name="_Toc1595"/>
      <w:bookmarkStart w:id="915" w:name="_Toc12867"/>
      <w:bookmarkStart w:id="916" w:name="_Toc18123"/>
      <w:bookmarkStart w:id="917" w:name="_Toc14575"/>
      <w:bookmarkStart w:id="918" w:name="_Toc7106"/>
      <w:bookmarkStart w:id="919" w:name="_Toc31017"/>
      <w:bookmarkStart w:id="920" w:name="_Toc5958"/>
      <w:bookmarkStart w:id="921" w:name="_Toc31133"/>
      <w:bookmarkStart w:id="922" w:name="_Toc23698"/>
      <w:bookmarkStart w:id="923" w:name="_Toc20178"/>
      <w:bookmarkStart w:id="924" w:name="_Toc20650"/>
      <w:bookmarkStart w:id="925" w:name="_Toc17557"/>
      <w:bookmarkStart w:id="926" w:name="_Toc11151"/>
      <w:bookmarkStart w:id="927" w:name="_Toc12843"/>
      <w:bookmarkStart w:id="928" w:name="_Toc31468"/>
      <w:bookmarkStart w:id="929" w:name="_Toc15684"/>
      <w:bookmarkStart w:id="930" w:name="_Toc2341"/>
      <w:bookmarkStart w:id="931" w:name="_Toc11174"/>
      <w:bookmarkStart w:id="932" w:name="_Toc19505"/>
      <w:bookmarkStart w:id="933" w:name="_Toc30432"/>
      <w:bookmarkStart w:id="934" w:name="_Toc32365"/>
      <w:bookmarkStart w:id="935" w:name="_Toc14854"/>
      <w:bookmarkStart w:id="936" w:name="_Toc29856"/>
      <w:bookmarkStart w:id="937" w:name="_Toc32670"/>
      <w:r>
        <w:rPr>
          <w:rFonts w:hint="eastAsia" w:eastAsia="仿宋" w:cs="宋体"/>
          <w:b/>
          <w:bCs/>
          <w:color w:val="auto"/>
          <w:szCs w:val="28"/>
          <w:highlight w:val="none"/>
          <w:lang w:eastAsia="zh-CN"/>
        </w:rPr>
        <w:t>四</w:t>
      </w:r>
      <w:r>
        <w:rPr>
          <w:rFonts w:hint="eastAsia" w:eastAsia="仿宋" w:cs="宋体"/>
          <w:b/>
          <w:bCs/>
          <w:color w:val="auto"/>
          <w:szCs w:val="28"/>
          <w:highlight w:val="none"/>
        </w:rPr>
        <w:t>、资格文件</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宋体" w:hAnsi="宋体" w:eastAsia="仿宋"/>
          <w:bCs/>
          <w:color w:val="auto"/>
          <w:highlight w:val="none"/>
        </w:rPr>
      </w:pPr>
      <w:r>
        <w:rPr>
          <w:rFonts w:hint="eastAsia" w:ascii="方正仿宋_GBK" w:hAnsi="仿宋" w:eastAsia="仿宋" w:cs="仿宋"/>
          <w:color w:val="auto"/>
          <w:kern w:val="0"/>
          <w:szCs w:val="28"/>
          <w:highlight w:val="none"/>
        </w:rPr>
        <w:t>（一）</w:t>
      </w:r>
      <w:bookmarkStart w:id="938" w:name="_Hlk84948558"/>
      <w:r>
        <w:rPr>
          <w:rFonts w:hint="eastAsia" w:ascii="方正仿宋_GBK" w:hAnsi="仿宋" w:eastAsia="仿宋" w:cs="仿宋"/>
          <w:color w:val="auto"/>
          <w:kern w:val="0"/>
          <w:szCs w:val="28"/>
          <w:highlight w:val="none"/>
        </w:rPr>
        <w:t>法人营业执照（副本）或事业单位法人证书（副本）或个体工商户营业执照或有效的自然人身份证明或社会团体法人登记证书复印件</w:t>
      </w:r>
      <w:bookmarkEnd w:id="938"/>
      <w:r>
        <w:rPr>
          <w:rFonts w:ascii="宋体" w:hAnsi="宋体" w:eastAsia="仿宋"/>
          <w:bCs/>
          <w:color w:val="auto"/>
          <w:highlight w:val="none"/>
        </w:rPr>
        <w:br w:type="page"/>
      </w:r>
    </w:p>
    <w:p>
      <w:pPr>
        <w:jc w:val="center"/>
        <w:rPr>
          <w:rFonts w:hint="eastAsia" w:ascii="仿宋" w:hAnsi="仿宋" w:eastAsia="仿宋" w:cs="仿宋"/>
          <w:color w:val="auto"/>
          <w:sz w:val="28"/>
          <w:szCs w:val="28"/>
          <w:highlight w:val="none"/>
        </w:rPr>
      </w:pPr>
      <w:bookmarkStart w:id="939" w:name="_Hlk84948793"/>
      <w:bookmarkStart w:id="940" w:name="_Hlk84948823"/>
      <w:r>
        <w:rPr>
          <w:rFonts w:hint="eastAsia" w:ascii="仿宋" w:hAnsi="仿宋" w:eastAsia="仿宋" w:cs="仿宋"/>
          <w:color w:val="auto"/>
          <w:sz w:val="28"/>
          <w:szCs w:val="28"/>
          <w:highlight w:val="none"/>
        </w:rPr>
        <w:t>（二）法定代表人身份证明书（格式）</w:t>
      </w:r>
    </w:p>
    <w:p>
      <w:pPr>
        <w:ind w:firstLine="438"/>
        <w:rPr>
          <w:rFonts w:hint="eastAsia" w:ascii="仿宋" w:hAnsi="仿宋" w:eastAsia="仿宋" w:cs="仿宋"/>
          <w:color w:val="auto"/>
          <w:szCs w:val="22"/>
          <w:highlight w:val="none"/>
        </w:rPr>
      </w:pPr>
    </w:p>
    <w:p>
      <w:pPr>
        <w:spacing w:line="520" w:lineRule="exact"/>
        <w:ind w:firstLine="438" w:firstLineChars="200"/>
        <w:jc w:val="left"/>
        <w:rPr>
          <w:rFonts w:hint="eastAsia" w:ascii="方正仿宋_GBK" w:hAnsi="仿宋" w:eastAsia="仿宋" w:cs="仿宋"/>
          <w:color w:val="auto"/>
          <w:kern w:val="0"/>
          <w:szCs w:val="28"/>
          <w:highlight w:val="none"/>
          <w:u w:val="single"/>
        </w:rPr>
      </w:pPr>
      <w:r>
        <w:rPr>
          <w:rFonts w:hint="eastAsia" w:ascii="方正仿宋_GBK" w:hAnsi="仿宋" w:eastAsia="仿宋" w:cs="仿宋"/>
          <w:color w:val="auto"/>
          <w:kern w:val="0"/>
          <w:szCs w:val="28"/>
          <w:highlight w:val="none"/>
        </w:rPr>
        <w:t>项目名称：</w:t>
      </w:r>
      <w:r>
        <w:rPr>
          <w:rFonts w:hint="eastAsia" w:ascii="方正仿宋_GBK" w:hAnsi="仿宋" w:eastAsia="仿宋" w:cs="仿宋"/>
          <w:color w:val="auto"/>
          <w:kern w:val="0"/>
          <w:szCs w:val="28"/>
          <w:highlight w:val="none"/>
          <w:u w:val="single"/>
        </w:rPr>
        <w:t xml:space="preserve">                        </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u w:val="single"/>
        </w:rPr>
      </w:pPr>
      <w:r>
        <w:rPr>
          <w:rFonts w:hint="eastAsia" w:ascii="方正仿宋_GBK" w:hAnsi="仿宋" w:eastAsia="仿宋" w:cs="仿宋"/>
          <w:color w:val="auto"/>
          <w:kern w:val="0"/>
          <w:szCs w:val="28"/>
          <w:highlight w:val="none"/>
        </w:rPr>
        <w:t>致：</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（采购</w:t>
      </w:r>
      <w:r>
        <w:rPr>
          <w:rFonts w:hint="eastAsia" w:ascii="方正仿宋_GBK" w:hAnsi="仿宋" w:eastAsia="仿宋" w:cs="仿宋"/>
          <w:color w:val="auto"/>
          <w:kern w:val="0"/>
          <w:szCs w:val="28"/>
          <w:highlight w:val="none"/>
          <w:lang w:eastAsia="zh-CN"/>
        </w:rPr>
        <w:t>人</w:t>
      </w:r>
      <w:r>
        <w:rPr>
          <w:rFonts w:hint="eastAsia" w:ascii="方正仿宋_GBK" w:hAnsi="仿宋" w:eastAsia="仿宋" w:cs="仿宋"/>
          <w:color w:val="auto"/>
          <w:kern w:val="0"/>
          <w:szCs w:val="28"/>
          <w:highlight w:val="none"/>
        </w:rPr>
        <w:t>名称）</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（法定代表人姓名）在</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（供应商名称）任</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（职务名称）职务，是</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（供应商名称）的法定代表人。</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特此证明。</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5475" w:firstLineChars="25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（供应商公章）</w:t>
      </w:r>
    </w:p>
    <w:p>
      <w:pPr>
        <w:spacing w:line="520" w:lineRule="exact"/>
        <w:ind w:firstLine="5585" w:firstLineChars="255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 xml:space="preserve">年   月   日 </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bookmarkStart w:id="941" w:name="_Hlk84948705"/>
      <w:r>
        <w:rPr>
          <w:rFonts w:hint="eastAsia" w:ascii="方正仿宋_GBK" w:hAnsi="仿宋" w:eastAsia="仿宋" w:cs="仿宋"/>
          <w:color w:val="auto"/>
          <w:kern w:val="0"/>
          <w:szCs w:val="28"/>
          <w:highlight w:val="none"/>
        </w:rPr>
        <w:t>法定代表人电话：XXXXXXX      电子邮箱：XXXXXX@XXXXX（若授权他人办理并签署响应文件的可不填写）</w:t>
      </w:r>
      <w:bookmarkEnd w:id="941"/>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（附：法定代表人身份证</w:t>
      </w:r>
      <w:r>
        <w:rPr>
          <w:rFonts w:hint="eastAsia" w:ascii="方正仿宋_GBK" w:hAnsi="仿宋" w:eastAsia="方正仿宋_GBK"/>
          <w:color w:val="auto"/>
          <w:sz w:val="24"/>
          <w:highlight w:val="none"/>
        </w:rPr>
        <w:t>正反面</w:t>
      </w:r>
      <w:r>
        <w:rPr>
          <w:rFonts w:hint="eastAsia" w:ascii="方正仿宋_GBK" w:hAnsi="仿宋" w:eastAsia="仿宋" w:cs="仿宋"/>
          <w:color w:val="auto"/>
          <w:kern w:val="0"/>
          <w:szCs w:val="28"/>
          <w:highlight w:val="none"/>
        </w:rPr>
        <w:t>复印件）</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br w:type="page"/>
      </w:r>
    </w:p>
    <w:bookmarkEnd w:id="939"/>
    <w:bookmarkEnd w:id="940"/>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（三）法定代表人授权委托书（格式）</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u w:val="single"/>
        </w:rPr>
      </w:pPr>
      <w:r>
        <w:rPr>
          <w:rFonts w:hint="eastAsia" w:ascii="方正仿宋_GBK" w:hAnsi="仿宋" w:eastAsia="仿宋" w:cs="仿宋"/>
          <w:color w:val="auto"/>
          <w:kern w:val="0"/>
          <w:szCs w:val="28"/>
          <w:highlight w:val="none"/>
        </w:rPr>
        <w:t>项目名称：</w:t>
      </w:r>
      <w:r>
        <w:rPr>
          <w:rFonts w:hint="eastAsia" w:ascii="方正仿宋_GBK" w:hAnsi="仿宋" w:eastAsia="仿宋" w:cs="仿宋"/>
          <w:color w:val="auto"/>
          <w:kern w:val="0"/>
          <w:szCs w:val="28"/>
          <w:highlight w:val="none"/>
          <w:u w:val="single"/>
        </w:rPr>
        <w:t xml:space="preserve">                        </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致：</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（采购</w:t>
      </w:r>
      <w:r>
        <w:rPr>
          <w:rFonts w:hint="eastAsia" w:ascii="方正仿宋_GBK" w:hAnsi="仿宋" w:eastAsia="仿宋" w:cs="仿宋"/>
          <w:color w:val="auto"/>
          <w:kern w:val="0"/>
          <w:szCs w:val="28"/>
          <w:highlight w:val="none"/>
          <w:lang w:eastAsia="zh-CN"/>
        </w:rPr>
        <w:t>人</w:t>
      </w:r>
      <w:r>
        <w:rPr>
          <w:rFonts w:hint="eastAsia" w:ascii="方正仿宋_GBK" w:hAnsi="仿宋" w:eastAsia="仿宋" w:cs="仿宋"/>
          <w:color w:val="auto"/>
          <w:kern w:val="0"/>
          <w:szCs w:val="28"/>
          <w:highlight w:val="none"/>
        </w:rPr>
        <w:t>名称）</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（供应商法定代表人名称）是</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（供应商名称）的法定代表人，特授权</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（被授权人姓名及身份证代码）代表我单位全权办理上述项目的响应、谈判、签约等具体工作，并签署全部有关文件、协议及合同。</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我单位对被授权人的签署负全部责任。</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在撤消授权的书面通知以前，本授权书一直有效。被授权人在授权书有效期内签署的所有文件不因授权的撤消而失效。</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被授权人：</w:t>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供应商法定代表人：</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（签署或盖章）</w:t>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 xml:space="preserve">  （签署或盖章）</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 xml:space="preserve">  （供应商公章） </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 xml:space="preserve">   年   月   日 </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（附：</w:t>
      </w:r>
      <w:bookmarkStart w:id="942" w:name="_Hlk69975477"/>
      <w:r>
        <w:rPr>
          <w:rFonts w:hint="eastAsia" w:ascii="方正仿宋_GBK" w:hAnsi="仿宋" w:eastAsia="仿宋" w:cs="仿宋"/>
          <w:color w:val="auto"/>
          <w:kern w:val="0"/>
          <w:szCs w:val="28"/>
          <w:highlight w:val="none"/>
        </w:rPr>
        <w:t>被授权人</w:t>
      </w:r>
      <w:bookmarkEnd w:id="942"/>
      <w:r>
        <w:rPr>
          <w:rFonts w:hint="eastAsia" w:ascii="方正仿宋_GBK" w:hAnsi="仿宋" w:eastAsia="仿宋" w:cs="仿宋"/>
          <w:color w:val="auto"/>
          <w:kern w:val="0"/>
          <w:szCs w:val="28"/>
          <w:highlight w:val="none"/>
        </w:rPr>
        <w:t>身份证</w:t>
      </w:r>
      <w:r>
        <w:rPr>
          <w:rFonts w:hint="eastAsia" w:ascii="方正仿宋_GBK" w:hAnsi="仿宋" w:eastAsia="方正仿宋_GBK"/>
          <w:color w:val="auto"/>
          <w:sz w:val="24"/>
          <w:highlight w:val="none"/>
        </w:rPr>
        <w:t>正反面</w:t>
      </w:r>
      <w:r>
        <w:rPr>
          <w:rFonts w:hint="eastAsia" w:ascii="方正仿宋_GBK" w:hAnsi="仿宋" w:eastAsia="仿宋" w:cs="仿宋"/>
          <w:color w:val="auto"/>
          <w:kern w:val="0"/>
          <w:szCs w:val="28"/>
          <w:highlight w:val="none"/>
        </w:rPr>
        <w:t>复印件）</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被授权人电话：XXXXXXX     电子邮箱：XXXXXX@XXXXX（若法定代表人办理并签署响应文件的可不填写）</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注：</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1.若为法定代表人办理并签署响应文件的，不提供此文件。</w:t>
      </w:r>
    </w:p>
    <w:p>
      <w:pPr>
        <w:tabs>
          <w:tab w:val="left" w:pos="6300"/>
        </w:tabs>
        <w:snapToGrid w:val="0"/>
        <w:spacing w:line="500" w:lineRule="exact"/>
        <w:ind w:firstLine="438" w:firstLineChars="200"/>
        <w:rPr>
          <w:rFonts w:hint="eastAsia" w:ascii="方正仿宋_GBK" w:hAnsi="宋体" w:eastAsia="方正仿宋_GBK"/>
          <w:color w:val="auto"/>
          <w:sz w:val="24"/>
          <w:szCs w:val="24"/>
          <w:highlight w:val="none"/>
        </w:rPr>
      </w:pPr>
      <w:r>
        <w:rPr>
          <w:rFonts w:hint="eastAsia" w:ascii="方正仿宋_GBK" w:hAnsi="仿宋" w:eastAsia="仿宋" w:cs="仿宋"/>
          <w:color w:val="auto"/>
          <w:kern w:val="0"/>
          <w:szCs w:val="28"/>
          <w:highlight w:val="none"/>
        </w:rPr>
        <w:t>2.若为联合体的，法定代表人授权委托书由联合体主办方（主体）出具。</w:t>
      </w:r>
      <w:r>
        <w:rPr>
          <w:rFonts w:hint="eastAsia" w:ascii="方正仿宋_GBK" w:hAnsi="仿宋" w:eastAsia="仿宋" w:cs="仿宋"/>
          <w:color w:val="auto"/>
          <w:kern w:val="0"/>
          <w:szCs w:val="28"/>
          <w:highlight w:val="none"/>
        </w:rPr>
        <w:br w:type="column"/>
      </w:r>
      <w:r>
        <w:rPr>
          <w:rFonts w:hint="eastAsia" w:ascii="仿宋" w:hAnsi="仿宋" w:eastAsia="仿宋" w:cs="仿宋"/>
          <w:color w:val="auto"/>
          <w:szCs w:val="24"/>
          <w:highlight w:val="none"/>
        </w:rPr>
        <w:t>（四）基本资格条件承诺函</w:t>
      </w:r>
    </w:p>
    <w:p>
      <w:pPr>
        <w:tabs>
          <w:tab w:val="left" w:pos="6300"/>
        </w:tabs>
        <w:snapToGrid w:val="0"/>
        <w:spacing w:line="500" w:lineRule="exact"/>
        <w:ind w:firstLine="598"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snapToGrid w:val="0"/>
        <w:spacing w:line="530" w:lineRule="exact"/>
        <w:rPr>
          <w:color w:val="auto"/>
          <w:sz w:val="24"/>
          <w:highlight w:val="none"/>
        </w:rPr>
      </w:pP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致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（采购</w:t>
      </w:r>
      <w:r>
        <w:rPr>
          <w:rFonts w:hint="eastAsia" w:ascii="仿宋" w:hAnsi="仿宋" w:eastAsia="仿宋" w:cs="仿宋"/>
          <w:color w:val="auto"/>
          <w:szCs w:val="24"/>
          <w:highlight w:val="none"/>
          <w:lang w:eastAsia="zh-CN"/>
        </w:rPr>
        <w:t>人</w:t>
      </w:r>
      <w:r>
        <w:rPr>
          <w:rFonts w:hint="eastAsia" w:ascii="仿宋" w:hAnsi="仿宋" w:eastAsia="仿宋" w:cs="仿宋"/>
          <w:color w:val="auto"/>
          <w:szCs w:val="24"/>
          <w:highlight w:val="none"/>
        </w:rPr>
        <w:t>名称）：</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（供应商名称）郑重承诺：</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1.我方具有良好的商业信誉和健全的财务会计制度，具有履行合同所必需的设备和专业技术能力，具</w:t>
      </w:r>
      <w:r>
        <w:rPr>
          <w:rFonts w:hint="eastAsia" w:ascii="仿宋" w:hAnsi="仿宋" w:eastAsia="仿宋" w:cs="仿宋"/>
          <w:color w:val="auto"/>
          <w:szCs w:val="24"/>
          <w:highlight w:val="none"/>
          <w:lang w:val="zh-CN"/>
        </w:rPr>
        <w:t>有依法缴纳税收和社会保障金的良好记录</w:t>
      </w:r>
      <w:r>
        <w:rPr>
          <w:rFonts w:hint="eastAsia" w:ascii="仿宋" w:hAnsi="仿宋" w:eastAsia="仿宋" w:cs="仿宋"/>
          <w:color w:val="auto"/>
          <w:szCs w:val="24"/>
          <w:highlight w:val="none"/>
        </w:rPr>
        <w:t>，参加本项目采购活动前三年内无重大违法活动记录。</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3.我方在采购项目评审（评标）环节结束后，随时接受采购人、采购代理机构的检查验证，配合提供相关证明材料，证明符合《中华人民共和国政府采购法》规定的供应商基本资格条件。</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我方对以上承诺负全部法律责任。</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特此承诺。</w:t>
      </w:r>
    </w:p>
    <w:p>
      <w:pPr>
        <w:spacing w:line="520" w:lineRule="exact"/>
        <w:ind w:firstLine="438" w:firstLineChars="200"/>
        <w:rPr>
          <w:rFonts w:hint="eastAsia" w:ascii="仿宋" w:hAnsi="仿宋" w:eastAsia="仿宋" w:cs="仿宋"/>
          <w:color w:val="auto"/>
          <w:szCs w:val="24"/>
          <w:highlight w:val="none"/>
        </w:rPr>
      </w:pPr>
    </w:p>
    <w:p>
      <w:pPr>
        <w:spacing w:line="520" w:lineRule="exact"/>
        <w:ind w:firstLine="438"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（供应商公章）</w:t>
      </w:r>
    </w:p>
    <w:p>
      <w:pPr>
        <w:spacing w:line="520" w:lineRule="exact"/>
        <w:jc w:val="both"/>
        <w:rPr>
          <w:rFonts w:hint="eastAsia" w:ascii="仿宋" w:hAnsi="仿宋" w:eastAsia="仿宋" w:cs="仿宋"/>
          <w:color w:val="auto"/>
          <w:szCs w:val="24"/>
          <w:highlight w:val="none"/>
        </w:rPr>
      </w:pPr>
    </w:p>
    <w:p>
      <w:pPr>
        <w:spacing w:line="520" w:lineRule="exact"/>
        <w:ind w:firstLine="6570" w:firstLineChars="30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年   月   日</w:t>
      </w:r>
    </w:p>
    <w:p>
      <w:pPr>
        <w:spacing w:line="520" w:lineRule="exact"/>
        <w:ind w:firstLine="6570" w:firstLineChars="3000"/>
        <w:rPr>
          <w:rFonts w:ascii="仿宋" w:hAnsi="仿宋" w:eastAsia="仿宋" w:cs="仿宋"/>
          <w:color w:val="auto"/>
          <w:szCs w:val="24"/>
          <w:highlight w:val="none"/>
        </w:rPr>
      </w:pPr>
    </w:p>
    <w:p>
      <w:pPr>
        <w:spacing w:line="520" w:lineRule="exact"/>
        <w:ind w:firstLine="438" w:firstLineChars="200"/>
        <w:jc w:val="right"/>
        <w:rPr>
          <w:rFonts w:hint="eastAsia"/>
          <w:color w:val="auto"/>
          <w:highlight w:val="none"/>
        </w:rPr>
      </w:pPr>
      <w:r>
        <w:rPr>
          <w:rFonts w:hint="eastAsia" w:ascii="仿宋" w:hAnsi="仿宋" w:eastAsia="仿宋" w:cs="仿宋"/>
          <w:color w:val="auto"/>
          <w:szCs w:val="24"/>
          <w:highlight w:val="none"/>
        </w:rPr>
        <w:br w:type="page"/>
      </w:r>
      <w:bookmarkStart w:id="943" w:name="_Hlk84948932"/>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20" w:lineRule="exact"/>
        <w:ind w:firstLine="438" w:firstLineChars="200"/>
        <w:jc w:val="left"/>
        <w:textAlignment w:val="auto"/>
        <w:outlineLvl w:val="9"/>
        <w:rPr>
          <w:color w:val="auto"/>
          <w:highlight w:val="none"/>
        </w:rPr>
      </w:pPr>
      <w:r>
        <w:rPr>
          <w:rFonts w:hint="eastAsia"/>
          <w:color w:val="auto"/>
          <w:highlight w:val="none"/>
        </w:rPr>
        <w:t>（</w:t>
      </w:r>
      <w:r>
        <w:rPr>
          <w:rFonts w:hint="eastAsia"/>
          <w:color w:val="auto"/>
          <w:highlight w:val="none"/>
          <w:lang w:eastAsia="zh-CN"/>
        </w:rPr>
        <w:t>五</w:t>
      </w:r>
      <w:r>
        <w:rPr>
          <w:rFonts w:hint="eastAsia"/>
          <w:color w:val="auto"/>
          <w:highlight w:val="none"/>
        </w:rPr>
        <w:t>）特定资格条件证书或证明文件：</w:t>
      </w:r>
    </w:p>
    <w:p>
      <w:pPr>
        <w:pStyle w:val="23"/>
        <w:rPr>
          <w:rFonts w:hint="eastAsia"/>
          <w:color w:val="auto"/>
          <w:highlight w:val="none"/>
        </w:rPr>
      </w:pPr>
    </w:p>
    <w:bookmarkEnd w:id="943"/>
    <w:p>
      <w:pPr>
        <w:tabs>
          <w:tab w:val="left" w:pos="6300"/>
        </w:tabs>
        <w:snapToGrid w:val="0"/>
        <w:spacing w:line="520" w:lineRule="exact"/>
        <w:ind w:firstLine="438" w:firstLineChars="200"/>
        <w:jc w:val="left"/>
        <w:rPr>
          <w:rFonts w:hint="eastAsia" w:ascii="方正仿宋_GBK" w:hAnsi="仿宋" w:eastAsia="仿宋" w:cs="仿宋"/>
          <w:color w:val="auto"/>
          <w:kern w:val="0"/>
          <w:szCs w:val="28"/>
          <w:highlight w:val="none"/>
        </w:rPr>
      </w:pPr>
    </w:p>
    <w:p>
      <w:pPr>
        <w:tabs>
          <w:tab w:val="left" w:pos="6300"/>
        </w:tabs>
        <w:snapToGrid w:val="0"/>
        <w:spacing w:line="520" w:lineRule="exact"/>
        <w:ind w:firstLine="438" w:firstLineChars="200"/>
        <w:jc w:val="left"/>
        <w:rPr>
          <w:rFonts w:hint="eastAsia" w:ascii="方正仿宋_GBK" w:hAnsi="仿宋" w:eastAsia="仿宋" w:cs="仿宋"/>
          <w:color w:val="auto"/>
          <w:kern w:val="0"/>
          <w:szCs w:val="28"/>
          <w:highlight w:val="none"/>
        </w:rPr>
      </w:pPr>
    </w:p>
    <w:p>
      <w:pPr>
        <w:tabs>
          <w:tab w:val="left" w:pos="6300"/>
        </w:tabs>
        <w:snapToGrid w:val="0"/>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说明：供应商按“多证合一”登记制度办理营业执照的，税务登记证（副本）和社会保险登记证以供应商所提供的法人营业执照（副本）复印件为准。</w:t>
      </w:r>
    </w:p>
    <w:p>
      <w:pPr>
        <w:tabs>
          <w:tab w:val="left" w:pos="6300"/>
        </w:tabs>
        <w:snapToGrid w:val="0"/>
        <w:spacing w:line="520" w:lineRule="exact"/>
        <w:ind w:firstLine="438" w:firstLineChars="200"/>
        <w:jc w:val="left"/>
        <w:rPr>
          <w:rFonts w:ascii="方正仿宋_GBK" w:hAnsi="仿宋" w:eastAsia="仿宋" w:cs="仿宋"/>
          <w:color w:val="auto"/>
          <w:kern w:val="0"/>
          <w:szCs w:val="28"/>
          <w:highlight w:val="none"/>
        </w:rPr>
      </w:pPr>
    </w:p>
    <w:p>
      <w:pPr>
        <w:tabs>
          <w:tab w:val="left" w:pos="6300"/>
        </w:tabs>
        <w:snapToGrid w:val="0"/>
        <w:spacing w:line="520" w:lineRule="exact"/>
        <w:ind w:firstLine="438" w:firstLineChars="200"/>
        <w:jc w:val="right"/>
        <w:rPr>
          <w:rFonts w:eastAsia="仿宋"/>
          <w:color w:val="auto"/>
          <w:highlight w:val="none"/>
        </w:rPr>
      </w:pPr>
    </w:p>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93" w:charSpace="-4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eastAsia="仿宋"/>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eastAsia="仿宋"/>
                              <w:sz w:val="18"/>
                            </w:rPr>
                          </w:pPr>
                          <w:r>
                            <w:rPr>
                              <w:rFonts w:hint="eastAsia" w:eastAsia="仿宋"/>
                              <w:sz w:val="18"/>
                            </w:rPr>
                            <w:fldChar w:fldCharType="begin"/>
                          </w:r>
                          <w:r>
                            <w:rPr>
                              <w:rFonts w:hint="eastAsia" w:eastAsia="仿宋"/>
                              <w:sz w:val="18"/>
                            </w:rPr>
                            <w:instrText xml:space="preserve"> PAGE  \* MERGEFORMAT </w:instrText>
                          </w:r>
                          <w:r>
                            <w:rPr>
                              <w:rFonts w:hint="eastAsia" w:eastAsia="仿宋"/>
                              <w:sz w:val="18"/>
                            </w:rPr>
                            <w:fldChar w:fldCharType="separate"/>
                          </w:r>
                          <w:r>
                            <w:rPr>
                              <w:rFonts w:eastAsia="仿宋"/>
                              <w:sz w:val="18"/>
                            </w:rPr>
                            <w:t>2</w:t>
                          </w:r>
                          <w:r>
                            <w:rPr>
                              <w:rFonts w:hint="eastAsia" w:eastAsia="仿宋"/>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NS1MwBAACnAwAADgAAAGRycy9lMm9Eb2MueG1srVPNjtMwEL4j8Q6W&#10;7zTZIqE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Y1LUzAEAAKcDAAAOAAAAAAAAAAEAIAAAAB4BAABkcnMvZTJv&#10;RG9jLnhtbFBLBQYAAAAABgAGAFkBAABcBQAAAAA=&#10;">
              <v:fill on="f" focussize="0,0"/>
              <v:stroke on="f"/>
              <v:imagedata o:title=""/>
              <o:lock v:ext="edit" aspectratio="f"/>
              <v:textbox inset="0mm,0mm,0mm,0mm" style="mso-fit-shape-to-text:t;">
                <w:txbxContent>
                  <w:p>
                    <w:pPr>
                      <w:snapToGrid w:val="0"/>
                      <w:rPr>
                        <w:rFonts w:eastAsia="仿宋"/>
                        <w:sz w:val="18"/>
                      </w:rPr>
                    </w:pPr>
                    <w:r>
                      <w:rPr>
                        <w:rFonts w:hint="eastAsia" w:eastAsia="仿宋"/>
                        <w:sz w:val="18"/>
                      </w:rPr>
                      <w:fldChar w:fldCharType="begin"/>
                    </w:r>
                    <w:r>
                      <w:rPr>
                        <w:rFonts w:hint="eastAsia" w:eastAsia="仿宋"/>
                        <w:sz w:val="18"/>
                      </w:rPr>
                      <w:instrText xml:space="preserve"> PAGE  \* MERGEFORMAT </w:instrText>
                    </w:r>
                    <w:r>
                      <w:rPr>
                        <w:rFonts w:hint="eastAsia" w:eastAsia="仿宋"/>
                        <w:sz w:val="18"/>
                      </w:rPr>
                      <w:fldChar w:fldCharType="separate"/>
                    </w:r>
                    <w:r>
                      <w:rPr>
                        <w:rFonts w:eastAsia="仿宋"/>
                        <w:sz w:val="18"/>
                      </w:rPr>
                      <w:t>2</w:t>
                    </w:r>
                    <w:r>
                      <w:rPr>
                        <w:rFonts w:hint="eastAsia" w:eastAsia="仿宋"/>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SmT80BAACoAwAADgAAAGRycy9lMm9Eb2MueG1srVPNjtMwEL4j8Q6W&#10;7zRpE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fJl&#10;0qcPWFHZXaDCOLz1A23NHEcKJtpDCzZ9iRCjPKl7vqqrhshkurRerdclpSTlZofwi4frATC+U96y&#10;ZNQc6PmyquL0AeNYOpekbs7famPyExr3V4Awx4jKOzDdTkzGiZMVh/0w0dv75kzsetqDmjtae87M&#10;e0cyp5WZDZiN/WwcA+hDl3cqdcfw5hhppDxp6jDCEsPk0ANmrtOypQ35089VD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YSmT80BAACoAwAADgAAAAAAAAABACAAAAAeAQAAZHJzL2Uy&#10;b0RvYy54bWxQSwUGAAAAAAYABgBZAQAAXQ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方正仿宋_GBK" w:hAnsi="方正仿宋_GBK" w:eastAsia="仿宋" w:cs="方正仿宋_GBK"/>
        <w:sz w:val="21"/>
        <w:szCs w:val="21"/>
      </w:rPr>
    </w:pPr>
    <w:r>
      <w:rPr>
        <w:rFonts w:hint="eastAsia" w:ascii="方正仿宋_GBK" w:hAnsi="方正仿宋_GBK" w:eastAsia="仿宋" w:cs="方正仿宋_GBK"/>
        <w:sz w:val="21"/>
        <w:szCs w:val="21"/>
      </w:rPr>
      <w:t>重庆市巴南区</w:t>
    </w:r>
    <w:r>
      <w:rPr>
        <w:rFonts w:hint="eastAsia" w:ascii="方正仿宋_GBK" w:hAnsi="方正仿宋_GBK" w:eastAsia="仿宋" w:cs="方正仿宋_GBK"/>
        <w:sz w:val="21"/>
        <w:szCs w:val="21"/>
        <w:lang w:eastAsia="zh-CN"/>
      </w:rPr>
      <w:t>第二人民医院</w:t>
    </w:r>
    <w:r>
      <w:rPr>
        <w:rFonts w:hint="eastAsia" w:ascii="方正仿宋_GBK" w:hAnsi="方正仿宋_GBK" w:eastAsia="仿宋" w:cs="方正仿宋_GBK"/>
        <w:sz w:val="21"/>
        <w:szCs w:val="21"/>
      </w:rPr>
      <w:t xml:space="preserve">                                                   </w:t>
    </w:r>
    <w:r>
      <w:rPr>
        <w:rFonts w:hint="eastAsia" w:ascii="方正仿宋_GBK" w:hAnsi="方正仿宋_GBK" w:eastAsia="仿宋" w:cs="方正仿宋_GBK"/>
        <w:sz w:val="21"/>
        <w:szCs w:val="21"/>
        <w:lang w:eastAsia="zh-CN"/>
      </w:rPr>
      <w:t>比选</w:t>
    </w:r>
    <w:r>
      <w:rPr>
        <w:rFonts w:hint="eastAsia" w:ascii="方正仿宋_GBK" w:hAnsi="方正仿宋_GBK" w:eastAsia="仿宋" w:cs="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05" w:firstLineChars="50"/>
      <w:jc w:val="both"/>
      <w:rPr>
        <w:rFonts w:ascii="仿宋" w:hAnsi="仿宋" w:eastAsia="仿宋" w:cs="仿宋"/>
      </w:rPr>
    </w:pPr>
    <w:r>
      <w:rPr>
        <w:rFonts w:hint="eastAsia" w:ascii="仿宋" w:hAnsi="仿宋" w:eastAsia="仿宋" w:cs="仿宋"/>
        <w:sz w:val="21"/>
        <w:szCs w:val="21"/>
      </w:rPr>
      <w:t>重庆市巴南区</w:t>
    </w:r>
    <w:r>
      <w:rPr>
        <w:rFonts w:hint="eastAsia" w:ascii="仿宋" w:hAnsi="仿宋" w:eastAsia="仿宋" w:cs="仿宋"/>
        <w:sz w:val="21"/>
        <w:szCs w:val="21"/>
        <w:lang w:eastAsia="zh-CN"/>
      </w:rPr>
      <w:t>第二人民医院</w:t>
    </w:r>
    <w:r>
      <w:rPr>
        <w:rFonts w:hint="eastAsia" w:ascii="仿宋" w:hAnsi="仿宋" w:eastAsia="仿宋" w:cs="仿宋"/>
        <w:sz w:val="21"/>
        <w:szCs w:val="21"/>
      </w:rPr>
      <w:t xml:space="preserve">                                                 </w:t>
    </w:r>
    <w:r>
      <w:rPr>
        <w:rFonts w:hint="eastAsia" w:ascii="方正仿宋_GBK" w:hAnsi="方正仿宋_GBK" w:eastAsia="仿宋" w:cs="方正仿宋_GBK"/>
        <w:sz w:val="21"/>
        <w:szCs w:val="21"/>
        <w:lang w:eastAsia="zh-CN"/>
      </w:rPr>
      <w:t>比选</w:t>
    </w:r>
    <w:r>
      <w:rPr>
        <w:rFonts w:hint="eastAsia" w:ascii="方正仿宋_GBK" w:hAnsi="方正仿宋_GBK" w:eastAsia="仿宋" w:cs="方正仿宋_GBK"/>
        <w:sz w:val="21"/>
        <w:szCs w:val="21"/>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方正仿宋_GBK"/>
        <w:sz w:val="21"/>
        <w:szCs w:val="21"/>
      </w:rPr>
    </w:pPr>
    <w:r>
      <w:rPr>
        <w:rFonts w:hint="eastAsia" w:ascii="方正仿宋_GBK"/>
        <w:sz w:val="21"/>
        <w:szCs w:val="21"/>
      </w:rPr>
      <w:t xml:space="preserve">                                                                          </w:t>
    </w:r>
    <w:r>
      <w:rPr>
        <w:rFonts w:hint="eastAsia" w:ascii="方正仿宋_GBK"/>
        <w:sz w:val="21"/>
        <w:szCs w:val="21"/>
        <w:lang w:eastAsia="zh-CN"/>
      </w:rPr>
      <w:t>比选</w:t>
    </w:r>
    <w:r>
      <w:rPr>
        <w:rFonts w:hint="eastAsia" w:ascii="方正仿宋_GBK"/>
        <w:sz w:val="21"/>
        <w:szCs w:val="21"/>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OThhOWI5OWE5MmE2NzM0OGE5MDNkY2U5YjI3OTgifQ=="/>
  </w:docVars>
  <w:rsids>
    <w:rsidRoot w:val="40C93C2C"/>
    <w:rsid w:val="00001BBA"/>
    <w:rsid w:val="0003371E"/>
    <w:rsid w:val="00035579"/>
    <w:rsid w:val="000443FC"/>
    <w:rsid w:val="00047F4D"/>
    <w:rsid w:val="00072066"/>
    <w:rsid w:val="000738D8"/>
    <w:rsid w:val="00075943"/>
    <w:rsid w:val="00077897"/>
    <w:rsid w:val="0008284F"/>
    <w:rsid w:val="00091FEA"/>
    <w:rsid w:val="000965EE"/>
    <w:rsid w:val="000B2480"/>
    <w:rsid w:val="000C3D09"/>
    <w:rsid w:val="000D3AFA"/>
    <w:rsid w:val="000F145F"/>
    <w:rsid w:val="000F3332"/>
    <w:rsid w:val="00155303"/>
    <w:rsid w:val="0015548F"/>
    <w:rsid w:val="00162C52"/>
    <w:rsid w:val="001704A3"/>
    <w:rsid w:val="0018549B"/>
    <w:rsid w:val="0019140F"/>
    <w:rsid w:val="001957E0"/>
    <w:rsid w:val="00196664"/>
    <w:rsid w:val="00196F1F"/>
    <w:rsid w:val="001A5733"/>
    <w:rsid w:val="001A5A7D"/>
    <w:rsid w:val="001B02F0"/>
    <w:rsid w:val="001E30C4"/>
    <w:rsid w:val="002034BC"/>
    <w:rsid w:val="00203AED"/>
    <w:rsid w:val="002231E8"/>
    <w:rsid w:val="00237EBB"/>
    <w:rsid w:val="00244B36"/>
    <w:rsid w:val="00250893"/>
    <w:rsid w:val="00271429"/>
    <w:rsid w:val="00287DC0"/>
    <w:rsid w:val="00292A24"/>
    <w:rsid w:val="002B01E8"/>
    <w:rsid w:val="002B38BB"/>
    <w:rsid w:val="002B48D7"/>
    <w:rsid w:val="002B7C8D"/>
    <w:rsid w:val="002C6518"/>
    <w:rsid w:val="002D170A"/>
    <w:rsid w:val="002D744B"/>
    <w:rsid w:val="002E6741"/>
    <w:rsid w:val="002F7DBC"/>
    <w:rsid w:val="0030015C"/>
    <w:rsid w:val="0030371C"/>
    <w:rsid w:val="0031205E"/>
    <w:rsid w:val="0031364C"/>
    <w:rsid w:val="00326D37"/>
    <w:rsid w:val="00330559"/>
    <w:rsid w:val="003479AD"/>
    <w:rsid w:val="00351DD2"/>
    <w:rsid w:val="00353FA3"/>
    <w:rsid w:val="00354EF3"/>
    <w:rsid w:val="003578DA"/>
    <w:rsid w:val="00362C84"/>
    <w:rsid w:val="00371609"/>
    <w:rsid w:val="003743E3"/>
    <w:rsid w:val="00384A9F"/>
    <w:rsid w:val="003B5524"/>
    <w:rsid w:val="003C795A"/>
    <w:rsid w:val="003D30BD"/>
    <w:rsid w:val="003E49B8"/>
    <w:rsid w:val="003F7D1E"/>
    <w:rsid w:val="00414057"/>
    <w:rsid w:val="00424CB3"/>
    <w:rsid w:val="00442E69"/>
    <w:rsid w:val="00467A37"/>
    <w:rsid w:val="0049085A"/>
    <w:rsid w:val="0049374C"/>
    <w:rsid w:val="004B3077"/>
    <w:rsid w:val="004D55F7"/>
    <w:rsid w:val="0050657D"/>
    <w:rsid w:val="005074DD"/>
    <w:rsid w:val="0054634E"/>
    <w:rsid w:val="005622EB"/>
    <w:rsid w:val="005823DE"/>
    <w:rsid w:val="005A00D4"/>
    <w:rsid w:val="005B00B3"/>
    <w:rsid w:val="005B77C1"/>
    <w:rsid w:val="005C006D"/>
    <w:rsid w:val="005E7EF2"/>
    <w:rsid w:val="006035B7"/>
    <w:rsid w:val="00665054"/>
    <w:rsid w:val="0066726E"/>
    <w:rsid w:val="00674183"/>
    <w:rsid w:val="00674CFD"/>
    <w:rsid w:val="0067578E"/>
    <w:rsid w:val="0068337C"/>
    <w:rsid w:val="00696CB4"/>
    <w:rsid w:val="006B38B0"/>
    <w:rsid w:val="006B6641"/>
    <w:rsid w:val="006D3EE4"/>
    <w:rsid w:val="006E135B"/>
    <w:rsid w:val="006E175F"/>
    <w:rsid w:val="006F7C3C"/>
    <w:rsid w:val="00700B00"/>
    <w:rsid w:val="00704233"/>
    <w:rsid w:val="00717EFB"/>
    <w:rsid w:val="00726C37"/>
    <w:rsid w:val="0073106B"/>
    <w:rsid w:val="007310B9"/>
    <w:rsid w:val="00733234"/>
    <w:rsid w:val="00745222"/>
    <w:rsid w:val="00756185"/>
    <w:rsid w:val="00771795"/>
    <w:rsid w:val="0079473D"/>
    <w:rsid w:val="007A6ED9"/>
    <w:rsid w:val="007C0407"/>
    <w:rsid w:val="007C146F"/>
    <w:rsid w:val="007C1F10"/>
    <w:rsid w:val="007D100F"/>
    <w:rsid w:val="007D40D3"/>
    <w:rsid w:val="007D515D"/>
    <w:rsid w:val="007D63FC"/>
    <w:rsid w:val="008049A0"/>
    <w:rsid w:val="008113DC"/>
    <w:rsid w:val="0081340A"/>
    <w:rsid w:val="00820D07"/>
    <w:rsid w:val="0084747E"/>
    <w:rsid w:val="00862CFE"/>
    <w:rsid w:val="00862FEF"/>
    <w:rsid w:val="00864E02"/>
    <w:rsid w:val="0087480F"/>
    <w:rsid w:val="00875DC9"/>
    <w:rsid w:val="00884CCB"/>
    <w:rsid w:val="00886203"/>
    <w:rsid w:val="00890337"/>
    <w:rsid w:val="008A6766"/>
    <w:rsid w:val="008B0511"/>
    <w:rsid w:val="008D0817"/>
    <w:rsid w:val="008D4BA3"/>
    <w:rsid w:val="008F7580"/>
    <w:rsid w:val="00902E9F"/>
    <w:rsid w:val="00921417"/>
    <w:rsid w:val="0092188F"/>
    <w:rsid w:val="00923ED6"/>
    <w:rsid w:val="00932200"/>
    <w:rsid w:val="00932D42"/>
    <w:rsid w:val="00984BFA"/>
    <w:rsid w:val="009C2CF6"/>
    <w:rsid w:val="009C4A09"/>
    <w:rsid w:val="009E004F"/>
    <w:rsid w:val="009E0760"/>
    <w:rsid w:val="00A13559"/>
    <w:rsid w:val="00A305A2"/>
    <w:rsid w:val="00A34F4D"/>
    <w:rsid w:val="00A41599"/>
    <w:rsid w:val="00A443B5"/>
    <w:rsid w:val="00A50462"/>
    <w:rsid w:val="00A51D28"/>
    <w:rsid w:val="00A57038"/>
    <w:rsid w:val="00A8111E"/>
    <w:rsid w:val="00A8118D"/>
    <w:rsid w:val="00A82E14"/>
    <w:rsid w:val="00A94272"/>
    <w:rsid w:val="00A95A43"/>
    <w:rsid w:val="00AA38C0"/>
    <w:rsid w:val="00AA5503"/>
    <w:rsid w:val="00AB3664"/>
    <w:rsid w:val="00AB7083"/>
    <w:rsid w:val="00AC02E8"/>
    <w:rsid w:val="00AE5CF8"/>
    <w:rsid w:val="00B00AB4"/>
    <w:rsid w:val="00B0219D"/>
    <w:rsid w:val="00B175C0"/>
    <w:rsid w:val="00B25671"/>
    <w:rsid w:val="00B54DF7"/>
    <w:rsid w:val="00B66180"/>
    <w:rsid w:val="00B81526"/>
    <w:rsid w:val="00BA3F67"/>
    <w:rsid w:val="00BA5F5E"/>
    <w:rsid w:val="00BD4D45"/>
    <w:rsid w:val="00BD5979"/>
    <w:rsid w:val="00BE72CD"/>
    <w:rsid w:val="00BE7A5D"/>
    <w:rsid w:val="00C013F9"/>
    <w:rsid w:val="00C03ADA"/>
    <w:rsid w:val="00C049B6"/>
    <w:rsid w:val="00C04C3D"/>
    <w:rsid w:val="00C402DB"/>
    <w:rsid w:val="00C517B3"/>
    <w:rsid w:val="00C7605F"/>
    <w:rsid w:val="00C82D92"/>
    <w:rsid w:val="00C849C0"/>
    <w:rsid w:val="00CB137E"/>
    <w:rsid w:val="00CB4E76"/>
    <w:rsid w:val="00CC21EC"/>
    <w:rsid w:val="00CC3F89"/>
    <w:rsid w:val="00CC6C95"/>
    <w:rsid w:val="00CD49F7"/>
    <w:rsid w:val="00CD582A"/>
    <w:rsid w:val="00CD5D73"/>
    <w:rsid w:val="00D0530C"/>
    <w:rsid w:val="00D05AD7"/>
    <w:rsid w:val="00D076D5"/>
    <w:rsid w:val="00D46D8F"/>
    <w:rsid w:val="00D52E5D"/>
    <w:rsid w:val="00D5361A"/>
    <w:rsid w:val="00D72445"/>
    <w:rsid w:val="00D87E8E"/>
    <w:rsid w:val="00DB25CA"/>
    <w:rsid w:val="00DB2D52"/>
    <w:rsid w:val="00DC3F03"/>
    <w:rsid w:val="00DC532D"/>
    <w:rsid w:val="00DC6508"/>
    <w:rsid w:val="00DE32B6"/>
    <w:rsid w:val="00DF1062"/>
    <w:rsid w:val="00DF1847"/>
    <w:rsid w:val="00DF7A42"/>
    <w:rsid w:val="00E06F19"/>
    <w:rsid w:val="00E12D8A"/>
    <w:rsid w:val="00E13392"/>
    <w:rsid w:val="00E16C43"/>
    <w:rsid w:val="00E40A9E"/>
    <w:rsid w:val="00E43A43"/>
    <w:rsid w:val="00E51082"/>
    <w:rsid w:val="00E52C06"/>
    <w:rsid w:val="00E66588"/>
    <w:rsid w:val="00E71BDF"/>
    <w:rsid w:val="00E8640D"/>
    <w:rsid w:val="00E93BC4"/>
    <w:rsid w:val="00E96A85"/>
    <w:rsid w:val="00ED18D5"/>
    <w:rsid w:val="00ED477A"/>
    <w:rsid w:val="00ED7017"/>
    <w:rsid w:val="00EE1F3A"/>
    <w:rsid w:val="00EF0562"/>
    <w:rsid w:val="00F07145"/>
    <w:rsid w:val="00F24690"/>
    <w:rsid w:val="00F43F91"/>
    <w:rsid w:val="00F53786"/>
    <w:rsid w:val="00F64C81"/>
    <w:rsid w:val="00F926E3"/>
    <w:rsid w:val="00FA1382"/>
    <w:rsid w:val="00FC40FB"/>
    <w:rsid w:val="00FE25D2"/>
    <w:rsid w:val="00FE39D0"/>
    <w:rsid w:val="010279D9"/>
    <w:rsid w:val="014F2BF9"/>
    <w:rsid w:val="0157524E"/>
    <w:rsid w:val="015A1C08"/>
    <w:rsid w:val="01677D22"/>
    <w:rsid w:val="01760AB5"/>
    <w:rsid w:val="01767DF0"/>
    <w:rsid w:val="018B0415"/>
    <w:rsid w:val="01C410ED"/>
    <w:rsid w:val="01EA2131"/>
    <w:rsid w:val="01F066C2"/>
    <w:rsid w:val="01F55610"/>
    <w:rsid w:val="02016651"/>
    <w:rsid w:val="02402EC0"/>
    <w:rsid w:val="02420537"/>
    <w:rsid w:val="02484769"/>
    <w:rsid w:val="02601145"/>
    <w:rsid w:val="0280123D"/>
    <w:rsid w:val="028A36E5"/>
    <w:rsid w:val="02A0095B"/>
    <w:rsid w:val="02A02677"/>
    <w:rsid w:val="02B61B42"/>
    <w:rsid w:val="02BC4A08"/>
    <w:rsid w:val="02E13F6D"/>
    <w:rsid w:val="02F0290C"/>
    <w:rsid w:val="0308478D"/>
    <w:rsid w:val="03215DBB"/>
    <w:rsid w:val="033E0386"/>
    <w:rsid w:val="03525480"/>
    <w:rsid w:val="0364408B"/>
    <w:rsid w:val="038F5556"/>
    <w:rsid w:val="03B17B3C"/>
    <w:rsid w:val="03E33B8C"/>
    <w:rsid w:val="03E57195"/>
    <w:rsid w:val="03FC7332"/>
    <w:rsid w:val="03FE21F6"/>
    <w:rsid w:val="041C62F5"/>
    <w:rsid w:val="041F595C"/>
    <w:rsid w:val="04253776"/>
    <w:rsid w:val="0432516C"/>
    <w:rsid w:val="043D1336"/>
    <w:rsid w:val="044755B3"/>
    <w:rsid w:val="044817B9"/>
    <w:rsid w:val="044E0C6E"/>
    <w:rsid w:val="04634C76"/>
    <w:rsid w:val="046E7B7D"/>
    <w:rsid w:val="047C69AB"/>
    <w:rsid w:val="04887AAC"/>
    <w:rsid w:val="048E150A"/>
    <w:rsid w:val="04AA0046"/>
    <w:rsid w:val="04B750FF"/>
    <w:rsid w:val="04C63186"/>
    <w:rsid w:val="04DA1B93"/>
    <w:rsid w:val="04E119F2"/>
    <w:rsid w:val="04F17CDF"/>
    <w:rsid w:val="04FD1264"/>
    <w:rsid w:val="050749F2"/>
    <w:rsid w:val="050B2FD3"/>
    <w:rsid w:val="05150164"/>
    <w:rsid w:val="051667F9"/>
    <w:rsid w:val="054264E4"/>
    <w:rsid w:val="054B1622"/>
    <w:rsid w:val="054C57E7"/>
    <w:rsid w:val="05603D62"/>
    <w:rsid w:val="057250EE"/>
    <w:rsid w:val="057F564B"/>
    <w:rsid w:val="058F4061"/>
    <w:rsid w:val="05956E68"/>
    <w:rsid w:val="05A416E1"/>
    <w:rsid w:val="05A5042F"/>
    <w:rsid w:val="05AD31CE"/>
    <w:rsid w:val="05B97F22"/>
    <w:rsid w:val="05CA210C"/>
    <w:rsid w:val="05CE632E"/>
    <w:rsid w:val="05D07EE5"/>
    <w:rsid w:val="061640A4"/>
    <w:rsid w:val="0633527A"/>
    <w:rsid w:val="06410E51"/>
    <w:rsid w:val="0648044E"/>
    <w:rsid w:val="066261CA"/>
    <w:rsid w:val="06634C7E"/>
    <w:rsid w:val="06792DD5"/>
    <w:rsid w:val="067E7DEF"/>
    <w:rsid w:val="0695635D"/>
    <w:rsid w:val="069947CA"/>
    <w:rsid w:val="06A81B03"/>
    <w:rsid w:val="06CE1AAF"/>
    <w:rsid w:val="06DA7052"/>
    <w:rsid w:val="06F62DD7"/>
    <w:rsid w:val="06F66EA1"/>
    <w:rsid w:val="07255051"/>
    <w:rsid w:val="072F431D"/>
    <w:rsid w:val="07310258"/>
    <w:rsid w:val="0757791A"/>
    <w:rsid w:val="07737A50"/>
    <w:rsid w:val="077869DB"/>
    <w:rsid w:val="077E496D"/>
    <w:rsid w:val="079917ED"/>
    <w:rsid w:val="079B3A16"/>
    <w:rsid w:val="07B83A96"/>
    <w:rsid w:val="07B96411"/>
    <w:rsid w:val="07D37FD5"/>
    <w:rsid w:val="07E43A81"/>
    <w:rsid w:val="07E459B1"/>
    <w:rsid w:val="07F44CA4"/>
    <w:rsid w:val="080816EE"/>
    <w:rsid w:val="080A7480"/>
    <w:rsid w:val="080D7A6E"/>
    <w:rsid w:val="083657FB"/>
    <w:rsid w:val="08381F25"/>
    <w:rsid w:val="08385375"/>
    <w:rsid w:val="083D27F3"/>
    <w:rsid w:val="08447953"/>
    <w:rsid w:val="08545A1E"/>
    <w:rsid w:val="086069BB"/>
    <w:rsid w:val="086A6A25"/>
    <w:rsid w:val="087B7477"/>
    <w:rsid w:val="0884738C"/>
    <w:rsid w:val="088578D6"/>
    <w:rsid w:val="08897A3F"/>
    <w:rsid w:val="089538A4"/>
    <w:rsid w:val="08B639AB"/>
    <w:rsid w:val="08B931D6"/>
    <w:rsid w:val="090717EE"/>
    <w:rsid w:val="091C7001"/>
    <w:rsid w:val="092B1932"/>
    <w:rsid w:val="094E33C8"/>
    <w:rsid w:val="094F62FF"/>
    <w:rsid w:val="09504B83"/>
    <w:rsid w:val="09545647"/>
    <w:rsid w:val="09574FC9"/>
    <w:rsid w:val="09575B61"/>
    <w:rsid w:val="09707B94"/>
    <w:rsid w:val="09716C57"/>
    <w:rsid w:val="098965C9"/>
    <w:rsid w:val="09993053"/>
    <w:rsid w:val="09AA4B46"/>
    <w:rsid w:val="09AA55A6"/>
    <w:rsid w:val="09BB2234"/>
    <w:rsid w:val="09C43F96"/>
    <w:rsid w:val="09DD6F59"/>
    <w:rsid w:val="09F139B6"/>
    <w:rsid w:val="0A0B6679"/>
    <w:rsid w:val="0A147E07"/>
    <w:rsid w:val="0A3F501F"/>
    <w:rsid w:val="0A41307A"/>
    <w:rsid w:val="0A640151"/>
    <w:rsid w:val="0A6B1B3B"/>
    <w:rsid w:val="0A6B46B7"/>
    <w:rsid w:val="0A8E517A"/>
    <w:rsid w:val="0A916B10"/>
    <w:rsid w:val="0A9D0E4A"/>
    <w:rsid w:val="0AA7409F"/>
    <w:rsid w:val="0AE24125"/>
    <w:rsid w:val="0AFA16EA"/>
    <w:rsid w:val="0B046A7D"/>
    <w:rsid w:val="0B106A66"/>
    <w:rsid w:val="0B1A6417"/>
    <w:rsid w:val="0B1F2B63"/>
    <w:rsid w:val="0B281DDC"/>
    <w:rsid w:val="0B37498A"/>
    <w:rsid w:val="0B4A0702"/>
    <w:rsid w:val="0B565A87"/>
    <w:rsid w:val="0B565E12"/>
    <w:rsid w:val="0B731D84"/>
    <w:rsid w:val="0B782745"/>
    <w:rsid w:val="0B7A6950"/>
    <w:rsid w:val="0B890535"/>
    <w:rsid w:val="0B894B7C"/>
    <w:rsid w:val="0B9569A0"/>
    <w:rsid w:val="0B981162"/>
    <w:rsid w:val="0BBA00D3"/>
    <w:rsid w:val="0BBA6364"/>
    <w:rsid w:val="0BC33CF1"/>
    <w:rsid w:val="0BD14CC5"/>
    <w:rsid w:val="0BD229F1"/>
    <w:rsid w:val="0C2301DA"/>
    <w:rsid w:val="0C271F1A"/>
    <w:rsid w:val="0C2A1865"/>
    <w:rsid w:val="0C2D4207"/>
    <w:rsid w:val="0C4135AB"/>
    <w:rsid w:val="0C535558"/>
    <w:rsid w:val="0C653B44"/>
    <w:rsid w:val="0C8274E1"/>
    <w:rsid w:val="0C947A74"/>
    <w:rsid w:val="0CA060DB"/>
    <w:rsid w:val="0CAA6660"/>
    <w:rsid w:val="0CDB38BE"/>
    <w:rsid w:val="0CE642FD"/>
    <w:rsid w:val="0CEB6E50"/>
    <w:rsid w:val="0D123DAD"/>
    <w:rsid w:val="0D2678EF"/>
    <w:rsid w:val="0D2C1440"/>
    <w:rsid w:val="0D3D3362"/>
    <w:rsid w:val="0D4C6C38"/>
    <w:rsid w:val="0D637261"/>
    <w:rsid w:val="0D6A6D48"/>
    <w:rsid w:val="0D7936EE"/>
    <w:rsid w:val="0D8D79D7"/>
    <w:rsid w:val="0DA755E0"/>
    <w:rsid w:val="0DB959FB"/>
    <w:rsid w:val="0DBF479B"/>
    <w:rsid w:val="0DC0699C"/>
    <w:rsid w:val="0DC87EB8"/>
    <w:rsid w:val="0DCF2E4D"/>
    <w:rsid w:val="0DD926DA"/>
    <w:rsid w:val="0DE021A4"/>
    <w:rsid w:val="0DE564AD"/>
    <w:rsid w:val="0E1645CD"/>
    <w:rsid w:val="0E166AA4"/>
    <w:rsid w:val="0E296A53"/>
    <w:rsid w:val="0E371F9B"/>
    <w:rsid w:val="0E3A6F1A"/>
    <w:rsid w:val="0E3C0D54"/>
    <w:rsid w:val="0E3F63E9"/>
    <w:rsid w:val="0E566686"/>
    <w:rsid w:val="0E5C577C"/>
    <w:rsid w:val="0E616184"/>
    <w:rsid w:val="0E6E4728"/>
    <w:rsid w:val="0E6F6BDF"/>
    <w:rsid w:val="0E8954E9"/>
    <w:rsid w:val="0E9070CF"/>
    <w:rsid w:val="0EA40291"/>
    <w:rsid w:val="0EA77815"/>
    <w:rsid w:val="0EAB02E0"/>
    <w:rsid w:val="0EAE7D74"/>
    <w:rsid w:val="0EB16063"/>
    <w:rsid w:val="0EB96541"/>
    <w:rsid w:val="0EC50B88"/>
    <w:rsid w:val="0ED7162C"/>
    <w:rsid w:val="0EDC2F3B"/>
    <w:rsid w:val="0EE62986"/>
    <w:rsid w:val="0EF50F52"/>
    <w:rsid w:val="0F051D41"/>
    <w:rsid w:val="0F0778E1"/>
    <w:rsid w:val="0F2605FA"/>
    <w:rsid w:val="0F2A5FF8"/>
    <w:rsid w:val="0F2B11BE"/>
    <w:rsid w:val="0F2C4D2D"/>
    <w:rsid w:val="0F2E2FD4"/>
    <w:rsid w:val="0F2E7E64"/>
    <w:rsid w:val="0F2F1258"/>
    <w:rsid w:val="0F311FF6"/>
    <w:rsid w:val="0F412B53"/>
    <w:rsid w:val="0F4168EE"/>
    <w:rsid w:val="0F501C09"/>
    <w:rsid w:val="0F5920DD"/>
    <w:rsid w:val="0F59642D"/>
    <w:rsid w:val="0F68792A"/>
    <w:rsid w:val="0F944496"/>
    <w:rsid w:val="0F9C5445"/>
    <w:rsid w:val="0FAB6F93"/>
    <w:rsid w:val="0FB06A76"/>
    <w:rsid w:val="0FB14946"/>
    <w:rsid w:val="0FB219ED"/>
    <w:rsid w:val="0FB90AE1"/>
    <w:rsid w:val="0FC75875"/>
    <w:rsid w:val="0FCE556B"/>
    <w:rsid w:val="0FD77509"/>
    <w:rsid w:val="0FF514D4"/>
    <w:rsid w:val="101A082E"/>
    <w:rsid w:val="103804C5"/>
    <w:rsid w:val="10512649"/>
    <w:rsid w:val="106557CD"/>
    <w:rsid w:val="10662F99"/>
    <w:rsid w:val="106C6CC8"/>
    <w:rsid w:val="107416A2"/>
    <w:rsid w:val="107E0C99"/>
    <w:rsid w:val="1084225D"/>
    <w:rsid w:val="10906703"/>
    <w:rsid w:val="10935107"/>
    <w:rsid w:val="1097001C"/>
    <w:rsid w:val="10A54B90"/>
    <w:rsid w:val="10B23DB6"/>
    <w:rsid w:val="10C9030A"/>
    <w:rsid w:val="10C957B0"/>
    <w:rsid w:val="10D313A9"/>
    <w:rsid w:val="10EF6ECA"/>
    <w:rsid w:val="10F6418F"/>
    <w:rsid w:val="111F2BA3"/>
    <w:rsid w:val="112E764C"/>
    <w:rsid w:val="114A07B2"/>
    <w:rsid w:val="115117C7"/>
    <w:rsid w:val="11522FB8"/>
    <w:rsid w:val="11755598"/>
    <w:rsid w:val="11777F12"/>
    <w:rsid w:val="11A27A3D"/>
    <w:rsid w:val="11A46BA8"/>
    <w:rsid w:val="11AB7F2F"/>
    <w:rsid w:val="11AF7974"/>
    <w:rsid w:val="11B07944"/>
    <w:rsid w:val="11B3004F"/>
    <w:rsid w:val="11B95D68"/>
    <w:rsid w:val="11C56BB4"/>
    <w:rsid w:val="11D0607A"/>
    <w:rsid w:val="11E23F66"/>
    <w:rsid w:val="11F81312"/>
    <w:rsid w:val="1205621C"/>
    <w:rsid w:val="12072EA1"/>
    <w:rsid w:val="120B1CE1"/>
    <w:rsid w:val="12134D18"/>
    <w:rsid w:val="122D552A"/>
    <w:rsid w:val="12460326"/>
    <w:rsid w:val="12472C82"/>
    <w:rsid w:val="12590DDF"/>
    <w:rsid w:val="127A2C8B"/>
    <w:rsid w:val="127E28D0"/>
    <w:rsid w:val="1287113B"/>
    <w:rsid w:val="12A3680D"/>
    <w:rsid w:val="12BE74A2"/>
    <w:rsid w:val="12CC1A9F"/>
    <w:rsid w:val="12DE37CA"/>
    <w:rsid w:val="12E22A42"/>
    <w:rsid w:val="12F3489F"/>
    <w:rsid w:val="130E5D37"/>
    <w:rsid w:val="1319122A"/>
    <w:rsid w:val="13191FB4"/>
    <w:rsid w:val="131B1C0A"/>
    <w:rsid w:val="1326221F"/>
    <w:rsid w:val="1329211C"/>
    <w:rsid w:val="134767CE"/>
    <w:rsid w:val="13515C6F"/>
    <w:rsid w:val="135B2389"/>
    <w:rsid w:val="13646713"/>
    <w:rsid w:val="1369338C"/>
    <w:rsid w:val="13F60D71"/>
    <w:rsid w:val="14047920"/>
    <w:rsid w:val="141324B8"/>
    <w:rsid w:val="141A1344"/>
    <w:rsid w:val="141E3891"/>
    <w:rsid w:val="14262E9B"/>
    <w:rsid w:val="142B21B3"/>
    <w:rsid w:val="142F1C51"/>
    <w:rsid w:val="1438137D"/>
    <w:rsid w:val="14567CD7"/>
    <w:rsid w:val="14630F64"/>
    <w:rsid w:val="148C68FC"/>
    <w:rsid w:val="14B3676D"/>
    <w:rsid w:val="14C16DCA"/>
    <w:rsid w:val="14DA3589"/>
    <w:rsid w:val="14E03344"/>
    <w:rsid w:val="14EC4497"/>
    <w:rsid w:val="14EF7735"/>
    <w:rsid w:val="15074CDC"/>
    <w:rsid w:val="15334DEF"/>
    <w:rsid w:val="15445C19"/>
    <w:rsid w:val="15465150"/>
    <w:rsid w:val="1570285F"/>
    <w:rsid w:val="15925129"/>
    <w:rsid w:val="15AE41BE"/>
    <w:rsid w:val="15C61793"/>
    <w:rsid w:val="15FB06EE"/>
    <w:rsid w:val="15FC29A5"/>
    <w:rsid w:val="15FD18D8"/>
    <w:rsid w:val="161E429C"/>
    <w:rsid w:val="16443619"/>
    <w:rsid w:val="164B4D9F"/>
    <w:rsid w:val="16500E7E"/>
    <w:rsid w:val="16636F9F"/>
    <w:rsid w:val="1677276B"/>
    <w:rsid w:val="16876714"/>
    <w:rsid w:val="16931C57"/>
    <w:rsid w:val="16A8316B"/>
    <w:rsid w:val="16D00771"/>
    <w:rsid w:val="16D827B4"/>
    <w:rsid w:val="16D86495"/>
    <w:rsid w:val="16DC3E6F"/>
    <w:rsid w:val="170B0999"/>
    <w:rsid w:val="17111E96"/>
    <w:rsid w:val="171B48F8"/>
    <w:rsid w:val="17384D65"/>
    <w:rsid w:val="174B278C"/>
    <w:rsid w:val="174D13DC"/>
    <w:rsid w:val="174F4176"/>
    <w:rsid w:val="17521752"/>
    <w:rsid w:val="175468B3"/>
    <w:rsid w:val="176C42C2"/>
    <w:rsid w:val="178831DB"/>
    <w:rsid w:val="178B727D"/>
    <w:rsid w:val="17915058"/>
    <w:rsid w:val="179B4647"/>
    <w:rsid w:val="17AD27E8"/>
    <w:rsid w:val="17D91A12"/>
    <w:rsid w:val="17DC4AC3"/>
    <w:rsid w:val="17DE2FB7"/>
    <w:rsid w:val="17E801FE"/>
    <w:rsid w:val="17F80177"/>
    <w:rsid w:val="17F83F44"/>
    <w:rsid w:val="18003820"/>
    <w:rsid w:val="18016986"/>
    <w:rsid w:val="18083050"/>
    <w:rsid w:val="180C72BC"/>
    <w:rsid w:val="1828358E"/>
    <w:rsid w:val="18297C98"/>
    <w:rsid w:val="182A2EC1"/>
    <w:rsid w:val="1842004B"/>
    <w:rsid w:val="18450DB8"/>
    <w:rsid w:val="18471246"/>
    <w:rsid w:val="185E3E5E"/>
    <w:rsid w:val="18805CA9"/>
    <w:rsid w:val="18883AAC"/>
    <w:rsid w:val="189027F5"/>
    <w:rsid w:val="18961D72"/>
    <w:rsid w:val="18974E66"/>
    <w:rsid w:val="18AE05D8"/>
    <w:rsid w:val="18B20138"/>
    <w:rsid w:val="18F76F56"/>
    <w:rsid w:val="19003311"/>
    <w:rsid w:val="19162CB4"/>
    <w:rsid w:val="193D41F8"/>
    <w:rsid w:val="19633697"/>
    <w:rsid w:val="19696F3B"/>
    <w:rsid w:val="196E3277"/>
    <w:rsid w:val="197020C9"/>
    <w:rsid w:val="19791782"/>
    <w:rsid w:val="19796783"/>
    <w:rsid w:val="19963B0C"/>
    <w:rsid w:val="19B64DBC"/>
    <w:rsid w:val="19CE7E98"/>
    <w:rsid w:val="19DC2C4D"/>
    <w:rsid w:val="19ED0C30"/>
    <w:rsid w:val="19F631DB"/>
    <w:rsid w:val="19FD05C4"/>
    <w:rsid w:val="19FF2193"/>
    <w:rsid w:val="1A127975"/>
    <w:rsid w:val="1A35305B"/>
    <w:rsid w:val="1A3D4028"/>
    <w:rsid w:val="1A4B2512"/>
    <w:rsid w:val="1A4F6A6D"/>
    <w:rsid w:val="1A5B42E4"/>
    <w:rsid w:val="1A687285"/>
    <w:rsid w:val="1A7E0E74"/>
    <w:rsid w:val="1A8B167A"/>
    <w:rsid w:val="1A9212A7"/>
    <w:rsid w:val="1A9255FF"/>
    <w:rsid w:val="1AA3538D"/>
    <w:rsid w:val="1ABD562B"/>
    <w:rsid w:val="1AC748A9"/>
    <w:rsid w:val="1ACD57D8"/>
    <w:rsid w:val="1ACF5964"/>
    <w:rsid w:val="1AD64380"/>
    <w:rsid w:val="1AD7720E"/>
    <w:rsid w:val="1B201BA8"/>
    <w:rsid w:val="1B2F52C1"/>
    <w:rsid w:val="1B446A63"/>
    <w:rsid w:val="1B5F3BA9"/>
    <w:rsid w:val="1B7C4CBC"/>
    <w:rsid w:val="1BA20319"/>
    <w:rsid w:val="1BA8064B"/>
    <w:rsid w:val="1BB31DC9"/>
    <w:rsid w:val="1BD546D0"/>
    <w:rsid w:val="1BD92CE5"/>
    <w:rsid w:val="1BE44770"/>
    <w:rsid w:val="1C0E0FE8"/>
    <w:rsid w:val="1C390072"/>
    <w:rsid w:val="1C3E461E"/>
    <w:rsid w:val="1C440099"/>
    <w:rsid w:val="1C552CB4"/>
    <w:rsid w:val="1C5B535A"/>
    <w:rsid w:val="1C5D4700"/>
    <w:rsid w:val="1C6D3D32"/>
    <w:rsid w:val="1C6D6F90"/>
    <w:rsid w:val="1C714856"/>
    <w:rsid w:val="1CA2209A"/>
    <w:rsid w:val="1CB60284"/>
    <w:rsid w:val="1CC17CA3"/>
    <w:rsid w:val="1CE90020"/>
    <w:rsid w:val="1CEA6411"/>
    <w:rsid w:val="1D017EAC"/>
    <w:rsid w:val="1D024550"/>
    <w:rsid w:val="1D0C1AA0"/>
    <w:rsid w:val="1D0F7F68"/>
    <w:rsid w:val="1D211A07"/>
    <w:rsid w:val="1D2A6B5E"/>
    <w:rsid w:val="1D300695"/>
    <w:rsid w:val="1D404CCB"/>
    <w:rsid w:val="1D4C3EAC"/>
    <w:rsid w:val="1D640CBD"/>
    <w:rsid w:val="1D7420BB"/>
    <w:rsid w:val="1D77128B"/>
    <w:rsid w:val="1D7A465E"/>
    <w:rsid w:val="1D90417C"/>
    <w:rsid w:val="1DA62814"/>
    <w:rsid w:val="1DAC7417"/>
    <w:rsid w:val="1DB0454D"/>
    <w:rsid w:val="1DBA3A88"/>
    <w:rsid w:val="1DD400FF"/>
    <w:rsid w:val="1DDE688F"/>
    <w:rsid w:val="1DEA4B40"/>
    <w:rsid w:val="1DF96CE6"/>
    <w:rsid w:val="1E0C2468"/>
    <w:rsid w:val="1E100DEB"/>
    <w:rsid w:val="1E124355"/>
    <w:rsid w:val="1E1F5B59"/>
    <w:rsid w:val="1E246F2E"/>
    <w:rsid w:val="1E350532"/>
    <w:rsid w:val="1E3A4F0E"/>
    <w:rsid w:val="1E513EF5"/>
    <w:rsid w:val="1E5C14EF"/>
    <w:rsid w:val="1E605AC7"/>
    <w:rsid w:val="1E687E27"/>
    <w:rsid w:val="1E7B4161"/>
    <w:rsid w:val="1E855897"/>
    <w:rsid w:val="1E8662A1"/>
    <w:rsid w:val="1E9274EE"/>
    <w:rsid w:val="1E976387"/>
    <w:rsid w:val="1EA05F78"/>
    <w:rsid w:val="1EA17076"/>
    <w:rsid w:val="1EA30377"/>
    <w:rsid w:val="1EAC5CF0"/>
    <w:rsid w:val="1EC02DEE"/>
    <w:rsid w:val="1EC61C90"/>
    <w:rsid w:val="1ED33DF7"/>
    <w:rsid w:val="1ED51EC0"/>
    <w:rsid w:val="1EDF2AC3"/>
    <w:rsid w:val="1EEC6C9C"/>
    <w:rsid w:val="1EED41C7"/>
    <w:rsid w:val="1EEF27F7"/>
    <w:rsid w:val="1EFF65BD"/>
    <w:rsid w:val="1F0301E8"/>
    <w:rsid w:val="1F0F4418"/>
    <w:rsid w:val="1F2450A2"/>
    <w:rsid w:val="1F266AF2"/>
    <w:rsid w:val="1F2921C1"/>
    <w:rsid w:val="1F423080"/>
    <w:rsid w:val="1F4A5A23"/>
    <w:rsid w:val="1F6208FA"/>
    <w:rsid w:val="1F795699"/>
    <w:rsid w:val="1F7D7B7E"/>
    <w:rsid w:val="1F8B00EC"/>
    <w:rsid w:val="1F8D2DEF"/>
    <w:rsid w:val="1F8D462E"/>
    <w:rsid w:val="1F980438"/>
    <w:rsid w:val="1FB00909"/>
    <w:rsid w:val="1FC032E1"/>
    <w:rsid w:val="1FD87ACC"/>
    <w:rsid w:val="1FD90556"/>
    <w:rsid w:val="1FE95A8A"/>
    <w:rsid w:val="1FEF0C77"/>
    <w:rsid w:val="1FFE3BAB"/>
    <w:rsid w:val="2010660D"/>
    <w:rsid w:val="2018367A"/>
    <w:rsid w:val="202145A8"/>
    <w:rsid w:val="20346975"/>
    <w:rsid w:val="20504D09"/>
    <w:rsid w:val="20562924"/>
    <w:rsid w:val="20564A23"/>
    <w:rsid w:val="20734217"/>
    <w:rsid w:val="209F46FC"/>
    <w:rsid w:val="20D5415D"/>
    <w:rsid w:val="20F420C9"/>
    <w:rsid w:val="210078FB"/>
    <w:rsid w:val="2111630E"/>
    <w:rsid w:val="212D3408"/>
    <w:rsid w:val="212F5663"/>
    <w:rsid w:val="213532BF"/>
    <w:rsid w:val="21364E40"/>
    <w:rsid w:val="21474A51"/>
    <w:rsid w:val="21481066"/>
    <w:rsid w:val="216960C8"/>
    <w:rsid w:val="2175028B"/>
    <w:rsid w:val="21812E44"/>
    <w:rsid w:val="21971541"/>
    <w:rsid w:val="21A168C8"/>
    <w:rsid w:val="21AC4ECC"/>
    <w:rsid w:val="21B646D2"/>
    <w:rsid w:val="21BF6616"/>
    <w:rsid w:val="21C31913"/>
    <w:rsid w:val="21CB5A7A"/>
    <w:rsid w:val="21CC3D94"/>
    <w:rsid w:val="21DD1C30"/>
    <w:rsid w:val="21EB17A7"/>
    <w:rsid w:val="22002E02"/>
    <w:rsid w:val="220E6AD5"/>
    <w:rsid w:val="220F3557"/>
    <w:rsid w:val="221706BD"/>
    <w:rsid w:val="22370978"/>
    <w:rsid w:val="22430C86"/>
    <w:rsid w:val="225659D9"/>
    <w:rsid w:val="22655D72"/>
    <w:rsid w:val="227135F2"/>
    <w:rsid w:val="22833F45"/>
    <w:rsid w:val="2287643A"/>
    <w:rsid w:val="229C1F7F"/>
    <w:rsid w:val="22A10C5C"/>
    <w:rsid w:val="22BB71A9"/>
    <w:rsid w:val="22CD7333"/>
    <w:rsid w:val="22CE48AD"/>
    <w:rsid w:val="22D44DB6"/>
    <w:rsid w:val="22EE0D5B"/>
    <w:rsid w:val="22EE5736"/>
    <w:rsid w:val="23085EC2"/>
    <w:rsid w:val="230F1C77"/>
    <w:rsid w:val="231213A2"/>
    <w:rsid w:val="23292671"/>
    <w:rsid w:val="232E02AF"/>
    <w:rsid w:val="235258B9"/>
    <w:rsid w:val="23562E54"/>
    <w:rsid w:val="23897251"/>
    <w:rsid w:val="239A212D"/>
    <w:rsid w:val="23B01098"/>
    <w:rsid w:val="23BC7739"/>
    <w:rsid w:val="23D360E9"/>
    <w:rsid w:val="23DD275A"/>
    <w:rsid w:val="23F31E65"/>
    <w:rsid w:val="23FA7418"/>
    <w:rsid w:val="240209F5"/>
    <w:rsid w:val="2403217D"/>
    <w:rsid w:val="24092638"/>
    <w:rsid w:val="240F5818"/>
    <w:rsid w:val="241F01FE"/>
    <w:rsid w:val="24281757"/>
    <w:rsid w:val="243D08AD"/>
    <w:rsid w:val="244A501D"/>
    <w:rsid w:val="245B6551"/>
    <w:rsid w:val="2463062C"/>
    <w:rsid w:val="246A6F49"/>
    <w:rsid w:val="247750E5"/>
    <w:rsid w:val="247A4326"/>
    <w:rsid w:val="24917AC6"/>
    <w:rsid w:val="24921F46"/>
    <w:rsid w:val="24962528"/>
    <w:rsid w:val="24992AB5"/>
    <w:rsid w:val="24A235F9"/>
    <w:rsid w:val="24A4255F"/>
    <w:rsid w:val="24B675AA"/>
    <w:rsid w:val="24C27401"/>
    <w:rsid w:val="24EF141E"/>
    <w:rsid w:val="24F33B9B"/>
    <w:rsid w:val="24F546EC"/>
    <w:rsid w:val="24FB6E4C"/>
    <w:rsid w:val="25220CBC"/>
    <w:rsid w:val="25397F25"/>
    <w:rsid w:val="25632058"/>
    <w:rsid w:val="256539D3"/>
    <w:rsid w:val="257E0077"/>
    <w:rsid w:val="25874688"/>
    <w:rsid w:val="258A783A"/>
    <w:rsid w:val="258B3340"/>
    <w:rsid w:val="25A378D6"/>
    <w:rsid w:val="25B94D9E"/>
    <w:rsid w:val="25BC4229"/>
    <w:rsid w:val="25CA270E"/>
    <w:rsid w:val="25D42D49"/>
    <w:rsid w:val="25E263A8"/>
    <w:rsid w:val="25E96F10"/>
    <w:rsid w:val="25F8138C"/>
    <w:rsid w:val="25FC2997"/>
    <w:rsid w:val="26270E8E"/>
    <w:rsid w:val="26527B3D"/>
    <w:rsid w:val="26843AD6"/>
    <w:rsid w:val="268D58C1"/>
    <w:rsid w:val="2697109A"/>
    <w:rsid w:val="269D6667"/>
    <w:rsid w:val="26BC2E63"/>
    <w:rsid w:val="26C70358"/>
    <w:rsid w:val="26DF5234"/>
    <w:rsid w:val="26E44315"/>
    <w:rsid w:val="26EE4A86"/>
    <w:rsid w:val="270B543C"/>
    <w:rsid w:val="271A6337"/>
    <w:rsid w:val="272E24A9"/>
    <w:rsid w:val="273B136A"/>
    <w:rsid w:val="27613A74"/>
    <w:rsid w:val="27752467"/>
    <w:rsid w:val="27A1529D"/>
    <w:rsid w:val="27B33DDE"/>
    <w:rsid w:val="27B92300"/>
    <w:rsid w:val="27B92BBF"/>
    <w:rsid w:val="27EA6EB0"/>
    <w:rsid w:val="280D5715"/>
    <w:rsid w:val="28131C63"/>
    <w:rsid w:val="28193342"/>
    <w:rsid w:val="281E07FC"/>
    <w:rsid w:val="282D1F29"/>
    <w:rsid w:val="284517B7"/>
    <w:rsid w:val="285B5066"/>
    <w:rsid w:val="285F61BC"/>
    <w:rsid w:val="286A3619"/>
    <w:rsid w:val="287064B6"/>
    <w:rsid w:val="288C3C94"/>
    <w:rsid w:val="28940A2F"/>
    <w:rsid w:val="28B016EF"/>
    <w:rsid w:val="28BA0295"/>
    <w:rsid w:val="28CF6803"/>
    <w:rsid w:val="29204D4E"/>
    <w:rsid w:val="292F3DF1"/>
    <w:rsid w:val="293A08BB"/>
    <w:rsid w:val="29464541"/>
    <w:rsid w:val="294D0514"/>
    <w:rsid w:val="294F294E"/>
    <w:rsid w:val="2952265D"/>
    <w:rsid w:val="29571496"/>
    <w:rsid w:val="296A6FEC"/>
    <w:rsid w:val="2973273F"/>
    <w:rsid w:val="297C5933"/>
    <w:rsid w:val="29965195"/>
    <w:rsid w:val="29965A3F"/>
    <w:rsid w:val="299C5619"/>
    <w:rsid w:val="299D1471"/>
    <w:rsid w:val="29AD1D45"/>
    <w:rsid w:val="29B70C98"/>
    <w:rsid w:val="29B751B5"/>
    <w:rsid w:val="29BE4971"/>
    <w:rsid w:val="29C55BD3"/>
    <w:rsid w:val="29CC380C"/>
    <w:rsid w:val="29D3077C"/>
    <w:rsid w:val="29F55883"/>
    <w:rsid w:val="2A2C5A6D"/>
    <w:rsid w:val="2A4065CD"/>
    <w:rsid w:val="2A6F342B"/>
    <w:rsid w:val="2A7E669D"/>
    <w:rsid w:val="2A984D6D"/>
    <w:rsid w:val="2AA51639"/>
    <w:rsid w:val="2AAF6F8A"/>
    <w:rsid w:val="2AB557FE"/>
    <w:rsid w:val="2ABA6BA0"/>
    <w:rsid w:val="2AC407E3"/>
    <w:rsid w:val="2AD753D9"/>
    <w:rsid w:val="2AE01A27"/>
    <w:rsid w:val="2AE324DA"/>
    <w:rsid w:val="2AE62AFD"/>
    <w:rsid w:val="2AE651BB"/>
    <w:rsid w:val="2AFB0A4E"/>
    <w:rsid w:val="2B1818F6"/>
    <w:rsid w:val="2B1B6DC7"/>
    <w:rsid w:val="2B304F93"/>
    <w:rsid w:val="2B3A1D21"/>
    <w:rsid w:val="2B3A5BA9"/>
    <w:rsid w:val="2B4247A3"/>
    <w:rsid w:val="2B6F5DD1"/>
    <w:rsid w:val="2B7164D1"/>
    <w:rsid w:val="2B8307CD"/>
    <w:rsid w:val="2B925829"/>
    <w:rsid w:val="2B9B1D78"/>
    <w:rsid w:val="2BA40DD5"/>
    <w:rsid w:val="2BA46B96"/>
    <w:rsid w:val="2BC710E3"/>
    <w:rsid w:val="2BD52616"/>
    <w:rsid w:val="2BD5324B"/>
    <w:rsid w:val="2C013EB5"/>
    <w:rsid w:val="2C183F6B"/>
    <w:rsid w:val="2C1E1D73"/>
    <w:rsid w:val="2C43116A"/>
    <w:rsid w:val="2C524C08"/>
    <w:rsid w:val="2C827B71"/>
    <w:rsid w:val="2C864B2D"/>
    <w:rsid w:val="2C950523"/>
    <w:rsid w:val="2CBB728E"/>
    <w:rsid w:val="2CBC4F72"/>
    <w:rsid w:val="2CBE2968"/>
    <w:rsid w:val="2CCD168B"/>
    <w:rsid w:val="2CD3198B"/>
    <w:rsid w:val="2CDA4B5F"/>
    <w:rsid w:val="2D0F2BE4"/>
    <w:rsid w:val="2D1579D5"/>
    <w:rsid w:val="2D1C7D09"/>
    <w:rsid w:val="2D2073FA"/>
    <w:rsid w:val="2D2912ED"/>
    <w:rsid w:val="2D390945"/>
    <w:rsid w:val="2D41024B"/>
    <w:rsid w:val="2D5C676F"/>
    <w:rsid w:val="2D670417"/>
    <w:rsid w:val="2D6858D9"/>
    <w:rsid w:val="2D73635F"/>
    <w:rsid w:val="2D82288D"/>
    <w:rsid w:val="2D8D7D17"/>
    <w:rsid w:val="2DA2350C"/>
    <w:rsid w:val="2DA26B18"/>
    <w:rsid w:val="2DA8623F"/>
    <w:rsid w:val="2DA961F4"/>
    <w:rsid w:val="2DC405AA"/>
    <w:rsid w:val="2DCE52AB"/>
    <w:rsid w:val="2DEA093A"/>
    <w:rsid w:val="2DEC574C"/>
    <w:rsid w:val="2E107F27"/>
    <w:rsid w:val="2E350841"/>
    <w:rsid w:val="2E3F30CE"/>
    <w:rsid w:val="2E3F3B86"/>
    <w:rsid w:val="2E464466"/>
    <w:rsid w:val="2E513AEA"/>
    <w:rsid w:val="2E5546CA"/>
    <w:rsid w:val="2E5A7BE8"/>
    <w:rsid w:val="2E5D4E74"/>
    <w:rsid w:val="2E6233B1"/>
    <w:rsid w:val="2E6C0BC3"/>
    <w:rsid w:val="2E78039F"/>
    <w:rsid w:val="2E8A4356"/>
    <w:rsid w:val="2E9208E5"/>
    <w:rsid w:val="2E9757EF"/>
    <w:rsid w:val="2E994CCB"/>
    <w:rsid w:val="2EC165B7"/>
    <w:rsid w:val="2EC94A7F"/>
    <w:rsid w:val="2EE21BC4"/>
    <w:rsid w:val="2EE828E1"/>
    <w:rsid w:val="2F12452C"/>
    <w:rsid w:val="2F19587F"/>
    <w:rsid w:val="2F256FF1"/>
    <w:rsid w:val="2F27097A"/>
    <w:rsid w:val="2F3B2694"/>
    <w:rsid w:val="2F3D0B0C"/>
    <w:rsid w:val="2F597FAF"/>
    <w:rsid w:val="2F66090D"/>
    <w:rsid w:val="2F740EEC"/>
    <w:rsid w:val="2F886E02"/>
    <w:rsid w:val="2F8B3D1C"/>
    <w:rsid w:val="2FA62C4D"/>
    <w:rsid w:val="2FBF6B43"/>
    <w:rsid w:val="2FCF2F65"/>
    <w:rsid w:val="2FD6053B"/>
    <w:rsid w:val="2FE95F99"/>
    <w:rsid w:val="30017697"/>
    <w:rsid w:val="300F55E6"/>
    <w:rsid w:val="301F4C48"/>
    <w:rsid w:val="301F7643"/>
    <w:rsid w:val="30283439"/>
    <w:rsid w:val="302F5185"/>
    <w:rsid w:val="30426FCF"/>
    <w:rsid w:val="30587FA7"/>
    <w:rsid w:val="305D7AD0"/>
    <w:rsid w:val="30685E7B"/>
    <w:rsid w:val="308D0993"/>
    <w:rsid w:val="308D42C9"/>
    <w:rsid w:val="309A75BA"/>
    <w:rsid w:val="30AA0D1F"/>
    <w:rsid w:val="30B260F5"/>
    <w:rsid w:val="30E34019"/>
    <w:rsid w:val="30EF6F14"/>
    <w:rsid w:val="30F96868"/>
    <w:rsid w:val="30FB1AA8"/>
    <w:rsid w:val="312A7037"/>
    <w:rsid w:val="314011DB"/>
    <w:rsid w:val="315438F7"/>
    <w:rsid w:val="315933C6"/>
    <w:rsid w:val="31691C58"/>
    <w:rsid w:val="316E002A"/>
    <w:rsid w:val="31BC3762"/>
    <w:rsid w:val="31D94622"/>
    <w:rsid w:val="31E97788"/>
    <w:rsid w:val="32021A6E"/>
    <w:rsid w:val="3211473C"/>
    <w:rsid w:val="321D18FA"/>
    <w:rsid w:val="323C4645"/>
    <w:rsid w:val="325B5588"/>
    <w:rsid w:val="32743B56"/>
    <w:rsid w:val="328F4D9A"/>
    <w:rsid w:val="329308B5"/>
    <w:rsid w:val="32940192"/>
    <w:rsid w:val="32953B74"/>
    <w:rsid w:val="32A23103"/>
    <w:rsid w:val="32AD00A2"/>
    <w:rsid w:val="32CA61F0"/>
    <w:rsid w:val="32CE4BB1"/>
    <w:rsid w:val="32CE61B4"/>
    <w:rsid w:val="32DE7B3B"/>
    <w:rsid w:val="32F23A0D"/>
    <w:rsid w:val="32F41E1C"/>
    <w:rsid w:val="32F74522"/>
    <w:rsid w:val="330111BC"/>
    <w:rsid w:val="331733B6"/>
    <w:rsid w:val="331F74EF"/>
    <w:rsid w:val="33254F2C"/>
    <w:rsid w:val="33271732"/>
    <w:rsid w:val="332D1F82"/>
    <w:rsid w:val="333B756C"/>
    <w:rsid w:val="333F2807"/>
    <w:rsid w:val="3342113B"/>
    <w:rsid w:val="334C54A3"/>
    <w:rsid w:val="334E620E"/>
    <w:rsid w:val="33562BC3"/>
    <w:rsid w:val="335915B0"/>
    <w:rsid w:val="335A05C4"/>
    <w:rsid w:val="3361036C"/>
    <w:rsid w:val="336743E3"/>
    <w:rsid w:val="337F0619"/>
    <w:rsid w:val="338C5B19"/>
    <w:rsid w:val="33A944FB"/>
    <w:rsid w:val="33B3530A"/>
    <w:rsid w:val="33B57EB9"/>
    <w:rsid w:val="33D26E92"/>
    <w:rsid w:val="33D613EB"/>
    <w:rsid w:val="33E1253F"/>
    <w:rsid w:val="33E7434F"/>
    <w:rsid w:val="33F971D5"/>
    <w:rsid w:val="340F6385"/>
    <w:rsid w:val="34143946"/>
    <w:rsid w:val="341961E6"/>
    <w:rsid w:val="34237494"/>
    <w:rsid w:val="34267A1B"/>
    <w:rsid w:val="342C1C45"/>
    <w:rsid w:val="3430596F"/>
    <w:rsid w:val="34383243"/>
    <w:rsid w:val="3440181B"/>
    <w:rsid w:val="345F76AC"/>
    <w:rsid w:val="346A0FD0"/>
    <w:rsid w:val="348A0A63"/>
    <w:rsid w:val="349127A4"/>
    <w:rsid w:val="349F3894"/>
    <w:rsid w:val="34A52A15"/>
    <w:rsid w:val="34D64492"/>
    <w:rsid w:val="34D713BB"/>
    <w:rsid w:val="34DC7047"/>
    <w:rsid w:val="34F20EA2"/>
    <w:rsid w:val="350C7643"/>
    <w:rsid w:val="3512750B"/>
    <w:rsid w:val="35274BD4"/>
    <w:rsid w:val="352969D0"/>
    <w:rsid w:val="35301D1C"/>
    <w:rsid w:val="35340772"/>
    <w:rsid w:val="353731B8"/>
    <w:rsid w:val="354237EC"/>
    <w:rsid w:val="35511985"/>
    <w:rsid w:val="355901DD"/>
    <w:rsid w:val="356A2647"/>
    <w:rsid w:val="356F4778"/>
    <w:rsid w:val="35793D59"/>
    <w:rsid w:val="359922DC"/>
    <w:rsid w:val="359F0D05"/>
    <w:rsid w:val="35A32344"/>
    <w:rsid w:val="35B620EC"/>
    <w:rsid w:val="35BB3F6F"/>
    <w:rsid w:val="35D04E68"/>
    <w:rsid w:val="35D65950"/>
    <w:rsid w:val="35E54622"/>
    <w:rsid w:val="35F970E2"/>
    <w:rsid w:val="35FB3F2C"/>
    <w:rsid w:val="35FF5FA6"/>
    <w:rsid w:val="360546BE"/>
    <w:rsid w:val="36107575"/>
    <w:rsid w:val="361100CA"/>
    <w:rsid w:val="361D2C3D"/>
    <w:rsid w:val="362102EC"/>
    <w:rsid w:val="363A6600"/>
    <w:rsid w:val="364F7A09"/>
    <w:rsid w:val="367E0E4A"/>
    <w:rsid w:val="3682337C"/>
    <w:rsid w:val="368637B1"/>
    <w:rsid w:val="368F1295"/>
    <w:rsid w:val="369E1627"/>
    <w:rsid w:val="36B57888"/>
    <w:rsid w:val="36E153DC"/>
    <w:rsid w:val="371501DE"/>
    <w:rsid w:val="37155B18"/>
    <w:rsid w:val="37167010"/>
    <w:rsid w:val="37284E0F"/>
    <w:rsid w:val="372A0F6A"/>
    <w:rsid w:val="37327CAC"/>
    <w:rsid w:val="37505700"/>
    <w:rsid w:val="37536EAE"/>
    <w:rsid w:val="37C95891"/>
    <w:rsid w:val="37CB0D94"/>
    <w:rsid w:val="37DE77FC"/>
    <w:rsid w:val="37E04CBD"/>
    <w:rsid w:val="37F37544"/>
    <w:rsid w:val="37FF3BD6"/>
    <w:rsid w:val="380B5D8F"/>
    <w:rsid w:val="38132D92"/>
    <w:rsid w:val="3822688F"/>
    <w:rsid w:val="382D1516"/>
    <w:rsid w:val="38476EA9"/>
    <w:rsid w:val="384777BB"/>
    <w:rsid w:val="38695BB9"/>
    <w:rsid w:val="38727D40"/>
    <w:rsid w:val="389F23E5"/>
    <w:rsid w:val="38BF27CF"/>
    <w:rsid w:val="38C32D98"/>
    <w:rsid w:val="38C81CAD"/>
    <w:rsid w:val="38E27D78"/>
    <w:rsid w:val="38EE2BD1"/>
    <w:rsid w:val="39113F01"/>
    <w:rsid w:val="391E4DE5"/>
    <w:rsid w:val="392917AF"/>
    <w:rsid w:val="39717D4D"/>
    <w:rsid w:val="39830E01"/>
    <w:rsid w:val="39856166"/>
    <w:rsid w:val="398D2547"/>
    <w:rsid w:val="3997440C"/>
    <w:rsid w:val="399A66DD"/>
    <w:rsid w:val="399C000D"/>
    <w:rsid w:val="39B07681"/>
    <w:rsid w:val="39B27340"/>
    <w:rsid w:val="39B3171B"/>
    <w:rsid w:val="39BC232D"/>
    <w:rsid w:val="39E27EB4"/>
    <w:rsid w:val="39F32D23"/>
    <w:rsid w:val="39FA6877"/>
    <w:rsid w:val="39FE4031"/>
    <w:rsid w:val="3A015456"/>
    <w:rsid w:val="3A0750C7"/>
    <w:rsid w:val="3A1E68BD"/>
    <w:rsid w:val="3A3F6685"/>
    <w:rsid w:val="3A4000D9"/>
    <w:rsid w:val="3A4521CA"/>
    <w:rsid w:val="3A49509F"/>
    <w:rsid w:val="3A4C2FCE"/>
    <w:rsid w:val="3A584C46"/>
    <w:rsid w:val="3A612DE5"/>
    <w:rsid w:val="3A633B75"/>
    <w:rsid w:val="3A660034"/>
    <w:rsid w:val="3A7969EC"/>
    <w:rsid w:val="3A814008"/>
    <w:rsid w:val="3A875AD9"/>
    <w:rsid w:val="3A927C61"/>
    <w:rsid w:val="3AA05D26"/>
    <w:rsid w:val="3AAE52D9"/>
    <w:rsid w:val="3ACA4944"/>
    <w:rsid w:val="3AD05CB0"/>
    <w:rsid w:val="3AD47FDF"/>
    <w:rsid w:val="3AD52E9F"/>
    <w:rsid w:val="3AE66485"/>
    <w:rsid w:val="3AF4735F"/>
    <w:rsid w:val="3AF74F0E"/>
    <w:rsid w:val="3AFD3E8E"/>
    <w:rsid w:val="3B167A46"/>
    <w:rsid w:val="3B1A038D"/>
    <w:rsid w:val="3B222B86"/>
    <w:rsid w:val="3B2D69B8"/>
    <w:rsid w:val="3B4200A1"/>
    <w:rsid w:val="3B457282"/>
    <w:rsid w:val="3B471728"/>
    <w:rsid w:val="3B6B075E"/>
    <w:rsid w:val="3B6E2C02"/>
    <w:rsid w:val="3B9B2C42"/>
    <w:rsid w:val="3BE673EC"/>
    <w:rsid w:val="3BEC4A0F"/>
    <w:rsid w:val="3BF550DA"/>
    <w:rsid w:val="3BF765EC"/>
    <w:rsid w:val="3C296B3D"/>
    <w:rsid w:val="3C59682E"/>
    <w:rsid w:val="3C662E18"/>
    <w:rsid w:val="3C6E32A4"/>
    <w:rsid w:val="3C747A13"/>
    <w:rsid w:val="3C7C694C"/>
    <w:rsid w:val="3C9E7A44"/>
    <w:rsid w:val="3CAA420B"/>
    <w:rsid w:val="3CB15178"/>
    <w:rsid w:val="3CB872DE"/>
    <w:rsid w:val="3CC52689"/>
    <w:rsid w:val="3CD06218"/>
    <w:rsid w:val="3CD32522"/>
    <w:rsid w:val="3CD558B1"/>
    <w:rsid w:val="3CEA6298"/>
    <w:rsid w:val="3D1A39DF"/>
    <w:rsid w:val="3D2637E2"/>
    <w:rsid w:val="3D3263EC"/>
    <w:rsid w:val="3D631C80"/>
    <w:rsid w:val="3D692B06"/>
    <w:rsid w:val="3D755E2C"/>
    <w:rsid w:val="3D8F35D4"/>
    <w:rsid w:val="3D8F386B"/>
    <w:rsid w:val="3DA31BAA"/>
    <w:rsid w:val="3DA53D6A"/>
    <w:rsid w:val="3DA821DD"/>
    <w:rsid w:val="3DA91092"/>
    <w:rsid w:val="3DAA0E17"/>
    <w:rsid w:val="3DAC0DEC"/>
    <w:rsid w:val="3DC24D75"/>
    <w:rsid w:val="3DD869E0"/>
    <w:rsid w:val="3DE2791A"/>
    <w:rsid w:val="3DEE3015"/>
    <w:rsid w:val="3DFF6BDC"/>
    <w:rsid w:val="3E2117EC"/>
    <w:rsid w:val="3E217E18"/>
    <w:rsid w:val="3E6D48DD"/>
    <w:rsid w:val="3E751EE7"/>
    <w:rsid w:val="3E8435E3"/>
    <w:rsid w:val="3E926A99"/>
    <w:rsid w:val="3EB20B34"/>
    <w:rsid w:val="3EC0586C"/>
    <w:rsid w:val="3EC96F52"/>
    <w:rsid w:val="3ED120AE"/>
    <w:rsid w:val="3ED956BE"/>
    <w:rsid w:val="3EEA1EF3"/>
    <w:rsid w:val="3EED3326"/>
    <w:rsid w:val="3EFF5662"/>
    <w:rsid w:val="3F1C5CAE"/>
    <w:rsid w:val="3F3556B8"/>
    <w:rsid w:val="3F4602FB"/>
    <w:rsid w:val="3F50250C"/>
    <w:rsid w:val="3F5778E8"/>
    <w:rsid w:val="3F5E0662"/>
    <w:rsid w:val="3F84768E"/>
    <w:rsid w:val="3FA00195"/>
    <w:rsid w:val="3FA45E02"/>
    <w:rsid w:val="3FAD626E"/>
    <w:rsid w:val="3FD1113F"/>
    <w:rsid w:val="3FD55222"/>
    <w:rsid w:val="3FE6300C"/>
    <w:rsid w:val="3FF87264"/>
    <w:rsid w:val="400849B2"/>
    <w:rsid w:val="400B78FF"/>
    <w:rsid w:val="401D636B"/>
    <w:rsid w:val="4043016C"/>
    <w:rsid w:val="406B5BD7"/>
    <w:rsid w:val="4073454C"/>
    <w:rsid w:val="40A2012D"/>
    <w:rsid w:val="40AA4297"/>
    <w:rsid w:val="40B27A77"/>
    <w:rsid w:val="40C93C2C"/>
    <w:rsid w:val="40CC4402"/>
    <w:rsid w:val="40CF248F"/>
    <w:rsid w:val="410267CF"/>
    <w:rsid w:val="411941A7"/>
    <w:rsid w:val="412D17A7"/>
    <w:rsid w:val="413B7A68"/>
    <w:rsid w:val="41420895"/>
    <w:rsid w:val="4146033A"/>
    <w:rsid w:val="414F2940"/>
    <w:rsid w:val="415212A6"/>
    <w:rsid w:val="415F49A9"/>
    <w:rsid w:val="416163D3"/>
    <w:rsid w:val="416869A2"/>
    <w:rsid w:val="418A5922"/>
    <w:rsid w:val="419507B0"/>
    <w:rsid w:val="419559F2"/>
    <w:rsid w:val="41966D0A"/>
    <w:rsid w:val="41C9379D"/>
    <w:rsid w:val="41CC4198"/>
    <w:rsid w:val="41D34286"/>
    <w:rsid w:val="41D73D30"/>
    <w:rsid w:val="420578A7"/>
    <w:rsid w:val="42287121"/>
    <w:rsid w:val="423226CF"/>
    <w:rsid w:val="427B18CD"/>
    <w:rsid w:val="42806636"/>
    <w:rsid w:val="428916B8"/>
    <w:rsid w:val="42B71B61"/>
    <w:rsid w:val="42E42CCB"/>
    <w:rsid w:val="42F21808"/>
    <w:rsid w:val="43002094"/>
    <w:rsid w:val="430779E2"/>
    <w:rsid w:val="43084968"/>
    <w:rsid w:val="43121B0F"/>
    <w:rsid w:val="431A4EB4"/>
    <w:rsid w:val="43207F9F"/>
    <w:rsid w:val="434A1CA6"/>
    <w:rsid w:val="435070E5"/>
    <w:rsid w:val="43545B7B"/>
    <w:rsid w:val="435606E0"/>
    <w:rsid w:val="435A43DE"/>
    <w:rsid w:val="43654EE0"/>
    <w:rsid w:val="436F1EDB"/>
    <w:rsid w:val="43832355"/>
    <w:rsid w:val="43855937"/>
    <w:rsid w:val="439865BE"/>
    <w:rsid w:val="439D3315"/>
    <w:rsid w:val="439E6090"/>
    <w:rsid w:val="43A00E80"/>
    <w:rsid w:val="43AA3793"/>
    <w:rsid w:val="43BB1503"/>
    <w:rsid w:val="43CA0E3F"/>
    <w:rsid w:val="43DA0DDE"/>
    <w:rsid w:val="43DB286E"/>
    <w:rsid w:val="43E0737D"/>
    <w:rsid w:val="43EA514C"/>
    <w:rsid w:val="43EF0CF0"/>
    <w:rsid w:val="43F92031"/>
    <w:rsid w:val="44106185"/>
    <w:rsid w:val="442F1C73"/>
    <w:rsid w:val="443A0F91"/>
    <w:rsid w:val="44406426"/>
    <w:rsid w:val="445C7035"/>
    <w:rsid w:val="44A6576F"/>
    <w:rsid w:val="44BF00CD"/>
    <w:rsid w:val="44C17D93"/>
    <w:rsid w:val="44D01B63"/>
    <w:rsid w:val="44D11CFA"/>
    <w:rsid w:val="44EB74C2"/>
    <w:rsid w:val="44F078A8"/>
    <w:rsid w:val="450A0A98"/>
    <w:rsid w:val="450C5AD8"/>
    <w:rsid w:val="4557254B"/>
    <w:rsid w:val="455730E3"/>
    <w:rsid w:val="455A6F7C"/>
    <w:rsid w:val="456033DF"/>
    <w:rsid w:val="45615501"/>
    <w:rsid w:val="456C4A00"/>
    <w:rsid w:val="4576312C"/>
    <w:rsid w:val="457A02D2"/>
    <w:rsid w:val="45837C34"/>
    <w:rsid w:val="45AA6BF5"/>
    <w:rsid w:val="45AE6214"/>
    <w:rsid w:val="45D1609B"/>
    <w:rsid w:val="45D24EF1"/>
    <w:rsid w:val="45DE579C"/>
    <w:rsid w:val="45E578B3"/>
    <w:rsid w:val="45EB50C1"/>
    <w:rsid w:val="45F03524"/>
    <w:rsid w:val="460C17DD"/>
    <w:rsid w:val="462823E5"/>
    <w:rsid w:val="462F49B1"/>
    <w:rsid w:val="46347065"/>
    <w:rsid w:val="46403ED5"/>
    <w:rsid w:val="46547515"/>
    <w:rsid w:val="46560D43"/>
    <w:rsid w:val="46633FE3"/>
    <w:rsid w:val="468F011D"/>
    <w:rsid w:val="469640D2"/>
    <w:rsid w:val="469D1308"/>
    <w:rsid w:val="469D4A4E"/>
    <w:rsid w:val="46A06F84"/>
    <w:rsid w:val="46A71032"/>
    <w:rsid w:val="46BA4CF3"/>
    <w:rsid w:val="46C619E8"/>
    <w:rsid w:val="46C6256D"/>
    <w:rsid w:val="46CC3936"/>
    <w:rsid w:val="46E1312D"/>
    <w:rsid w:val="46E32870"/>
    <w:rsid w:val="46E43002"/>
    <w:rsid w:val="46F40C50"/>
    <w:rsid w:val="46F54AD4"/>
    <w:rsid w:val="47085549"/>
    <w:rsid w:val="470B52C8"/>
    <w:rsid w:val="47101F20"/>
    <w:rsid w:val="4720474D"/>
    <w:rsid w:val="475D27B8"/>
    <w:rsid w:val="478A4680"/>
    <w:rsid w:val="47BD361A"/>
    <w:rsid w:val="47C62491"/>
    <w:rsid w:val="47CA0DD5"/>
    <w:rsid w:val="47CD61BD"/>
    <w:rsid w:val="47D3765D"/>
    <w:rsid w:val="47F463DE"/>
    <w:rsid w:val="47FA0A18"/>
    <w:rsid w:val="47FD14A4"/>
    <w:rsid w:val="48043F47"/>
    <w:rsid w:val="480F5CC6"/>
    <w:rsid w:val="48123EFD"/>
    <w:rsid w:val="482565B6"/>
    <w:rsid w:val="484D2622"/>
    <w:rsid w:val="48511591"/>
    <w:rsid w:val="48546986"/>
    <w:rsid w:val="48627946"/>
    <w:rsid w:val="4868638A"/>
    <w:rsid w:val="486E4AFA"/>
    <w:rsid w:val="489B5671"/>
    <w:rsid w:val="489F3706"/>
    <w:rsid w:val="48A807B9"/>
    <w:rsid w:val="48B843DB"/>
    <w:rsid w:val="48EE3B7A"/>
    <w:rsid w:val="48FB01C0"/>
    <w:rsid w:val="48FD384B"/>
    <w:rsid w:val="49172611"/>
    <w:rsid w:val="491B6650"/>
    <w:rsid w:val="491F5978"/>
    <w:rsid w:val="4934123D"/>
    <w:rsid w:val="49426D81"/>
    <w:rsid w:val="494614E0"/>
    <w:rsid w:val="4946760E"/>
    <w:rsid w:val="498E4072"/>
    <w:rsid w:val="499833AA"/>
    <w:rsid w:val="49A46E71"/>
    <w:rsid w:val="49B03007"/>
    <w:rsid w:val="49DB6509"/>
    <w:rsid w:val="49DC7A4B"/>
    <w:rsid w:val="49ED70EF"/>
    <w:rsid w:val="49FB7771"/>
    <w:rsid w:val="4A0317EC"/>
    <w:rsid w:val="4A067202"/>
    <w:rsid w:val="4A1F6B8B"/>
    <w:rsid w:val="4A27187C"/>
    <w:rsid w:val="4A3D2319"/>
    <w:rsid w:val="4A424F4F"/>
    <w:rsid w:val="4A4A6F73"/>
    <w:rsid w:val="4A6A766C"/>
    <w:rsid w:val="4A6C5CD9"/>
    <w:rsid w:val="4A832C0A"/>
    <w:rsid w:val="4A935488"/>
    <w:rsid w:val="4AAC05EF"/>
    <w:rsid w:val="4AB923BF"/>
    <w:rsid w:val="4AC36577"/>
    <w:rsid w:val="4AD36547"/>
    <w:rsid w:val="4ADE3D60"/>
    <w:rsid w:val="4AE0139D"/>
    <w:rsid w:val="4AEE438C"/>
    <w:rsid w:val="4B0F08F0"/>
    <w:rsid w:val="4B13136B"/>
    <w:rsid w:val="4B163F3A"/>
    <w:rsid w:val="4B260EC9"/>
    <w:rsid w:val="4B4C50BB"/>
    <w:rsid w:val="4B580590"/>
    <w:rsid w:val="4B647335"/>
    <w:rsid w:val="4B783852"/>
    <w:rsid w:val="4BF47773"/>
    <w:rsid w:val="4BFC6736"/>
    <w:rsid w:val="4C302607"/>
    <w:rsid w:val="4C307608"/>
    <w:rsid w:val="4C3414B9"/>
    <w:rsid w:val="4C373098"/>
    <w:rsid w:val="4C4C0BC5"/>
    <w:rsid w:val="4C5727FA"/>
    <w:rsid w:val="4C606508"/>
    <w:rsid w:val="4C662843"/>
    <w:rsid w:val="4C673BB1"/>
    <w:rsid w:val="4C6D2199"/>
    <w:rsid w:val="4C9C0F1E"/>
    <w:rsid w:val="4C9C41E3"/>
    <w:rsid w:val="4CA54F3E"/>
    <w:rsid w:val="4CA845C0"/>
    <w:rsid w:val="4CC572C6"/>
    <w:rsid w:val="4CD72882"/>
    <w:rsid w:val="4D267674"/>
    <w:rsid w:val="4D3A3FC4"/>
    <w:rsid w:val="4D431BAA"/>
    <w:rsid w:val="4D56570C"/>
    <w:rsid w:val="4D6A0350"/>
    <w:rsid w:val="4D885499"/>
    <w:rsid w:val="4DA722C2"/>
    <w:rsid w:val="4DAB0D50"/>
    <w:rsid w:val="4DAD4AC6"/>
    <w:rsid w:val="4DAF3636"/>
    <w:rsid w:val="4DB30006"/>
    <w:rsid w:val="4DD012BB"/>
    <w:rsid w:val="4DE94216"/>
    <w:rsid w:val="4DF642D6"/>
    <w:rsid w:val="4DF77026"/>
    <w:rsid w:val="4E0965B6"/>
    <w:rsid w:val="4E0F6958"/>
    <w:rsid w:val="4E1A150C"/>
    <w:rsid w:val="4E1B2346"/>
    <w:rsid w:val="4E3560D5"/>
    <w:rsid w:val="4E3D2D11"/>
    <w:rsid w:val="4E492795"/>
    <w:rsid w:val="4E553773"/>
    <w:rsid w:val="4E557723"/>
    <w:rsid w:val="4E5B5B47"/>
    <w:rsid w:val="4E7D712F"/>
    <w:rsid w:val="4E8412B2"/>
    <w:rsid w:val="4E941D66"/>
    <w:rsid w:val="4EB57BF8"/>
    <w:rsid w:val="4EBB3698"/>
    <w:rsid w:val="4EBD44AF"/>
    <w:rsid w:val="4EBF1F35"/>
    <w:rsid w:val="4EC201C3"/>
    <w:rsid w:val="4EC62A4A"/>
    <w:rsid w:val="4ED43257"/>
    <w:rsid w:val="4ED55A87"/>
    <w:rsid w:val="4ED55CAE"/>
    <w:rsid w:val="4EEA0B90"/>
    <w:rsid w:val="4EEC6BC3"/>
    <w:rsid w:val="4EF10825"/>
    <w:rsid w:val="4EF2748D"/>
    <w:rsid w:val="4EF96F4E"/>
    <w:rsid w:val="4F08779C"/>
    <w:rsid w:val="4F105A52"/>
    <w:rsid w:val="4F157099"/>
    <w:rsid w:val="4F196A6C"/>
    <w:rsid w:val="4F243ADF"/>
    <w:rsid w:val="4F381E11"/>
    <w:rsid w:val="4F3D582C"/>
    <w:rsid w:val="4F4D6C67"/>
    <w:rsid w:val="4F4F5829"/>
    <w:rsid w:val="4F62558B"/>
    <w:rsid w:val="4F876C67"/>
    <w:rsid w:val="4F970FBB"/>
    <w:rsid w:val="4FB64DCA"/>
    <w:rsid w:val="4FBA2471"/>
    <w:rsid w:val="4FCC3EF9"/>
    <w:rsid w:val="4FCD492E"/>
    <w:rsid w:val="4FCD7F18"/>
    <w:rsid w:val="4FD0677A"/>
    <w:rsid w:val="4FD41506"/>
    <w:rsid w:val="4FD47036"/>
    <w:rsid w:val="50120DEA"/>
    <w:rsid w:val="501F1578"/>
    <w:rsid w:val="50246F36"/>
    <w:rsid w:val="502D74A0"/>
    <w:rsid w:val="50391B98"/>
    <w:rsid w:val="50445B61"/>
    <w:rsid w:val="50501594"/>
    <w:rsid w:val="506733B6"/>
    <w:rsid w:val="506906AE"/>
    <w:rsid w:val="507218D8"/>
    <w:rsid w:val="507612E2"/>
    <w:rsid w:val="507E34D2"/>
    <w:rsid w:val="50887E11"/>
    <w:rsid w:val="50D11AD4"/>
    <w:rsid w:val="50E56D6F"/>
    <w:rsid w:val="50EF7CB4"/>
    <w:rsid w:val="51034999"/>
    <w:rsid w:val="510A3797"/>
    <w:rsid w:val="5115689A"/>
    <w:rsid w:val="51163A42"/>
    <w:rsid w:val="51272B72"/>
    <w:rsid w:val="512961A1"/>
    <w:rsid w:val="512E7AF3"/>
    <w:rsid w:val="51315009"/>
    <w:rsid w:val="5148313A"/>
    <w:rsid w:val="51AE63D7"/>
    <w:rsid w:val="51C7476C"/>
    <w:rsid w:val="52311A4B"/>
    <w:rsid w:val="5235110D"/>
    <w:rsid w:val="5259664A"/>
    <w:rsid w:val="525D0EC9"/>
    <w:rsid w:val="52697CB0"/>
    <w:rsid w:val="526E48F5"/>
    <w:rsid w:val="527B023F"/>
    <w:rsid w:val="529366D4"/>
    <w:rsid w:val="529A5DFF"/>
    <w:rsid w:val="52A61C57"/>
    <w:rsid w:val="52A65A40"/>
    <w:rsid w:val="52F05440"/>
    <w:rsid w:val="530A7149"/>
    <w:rsid w:val="5322349F"/>
    <w:rsid w:val="53237764"/>
    <w:rsid w:val="532A6A37"/>
    <w:rsid w:val="53394C1B"/>
    <w:rsid w:val="53515BC9"/>
    <w:rsid w:val="535C19B0"/>
    <w:rsid w:val="537A654E"/>
    <w:rsid w:val="537D4CB3"/>
    <w:rsid w:val="538E37F2"/>
    <w:rsid w:val="538F7E27"/>
    <w:rsid w:val="539E762F"/>
    <w:rsid w:val="53A13655"/>
    <w:rsid w:val="53AD271F"/>
    <w:rsid w:val="53B11F80"/>
    <w:rsid w:val="53FC2405"/>
    <w:rsid w:val="54070E9C"/>
    <w:rsid w:val="541364A0"/>
    <w:rsid w:val="541C3C30"/>
    <w:rsid w:val="54530402"/>
    <w:rsid w:val="545D328E"/>
    <w:rsid w:val="546D6440"/>
    <w:rsid w:val="546F3BC5"/>
    <w:rsid w:val="54A35B80"/>
    <w:rsid w:val="54A475DC"/>
    <w:rsid w:val="54B36C30"/>
    <w:rsid w:val="54C36759"/>
    <w:rsid w:val="54CE26A4"/>
    <w:rsid w:val="54D16D9C"/>
    <w:rsid w:val="54D92923"/>
    <w:rsid w:val="54DC3F02"/>
    <w:rsid w:val="54E6788C"/>
    <w:rsid w:val="55044C2E"/>
    <w:rsid w:val="5509067E"/>
    <w:rsid w:val="551178F4"/>
    <w:rsid w:val="55314C27"/>
    <w:rsid w:val="55384686"/>
    <w:rsid w:val="555A3408"/>
    <w:rsid w:val="55647983"/>
    <w:rsid w:val="5567793D"/>
    <w:rsid w:val="556C4C06"/>
    <w:rsid w:val="5588140E"/>
    <w:rsid w:val="55885D4D"/>
    <w:rsid w:val="55B33B70"/>
    <w:rsid w:val="55CD5C9F"/>
    <w:rsid w:val="55D60722"/>
    <w:rsid w:val="55DA0C7A"/>
    <w:rsid w:val="55EE2A74"/>
    <w:rsid w:val="56031A5C"/>
    <w:rsid w:val="561E4CF3"/>
    <w:rsid w:val="5629452E"/>
    <w:rsid w:val="563033AA"/>
    <w:rsid w:val="564800D2"/>
    <w:rsid w:val="564F5474"/>
    <w:rsid w:val="56533EA1"/>
    <w:rsid w:val="56693221"/>
    <w:rsid w:val="567A6CC7"/>
    <w:rsid w:val="569011A6"/>
    <w:rsid w:val="56955B35"/>
    <w:rsid w:val="56A01E4E"/>
    <w:rsid w:val="56AD70EE"/>
    <w:rsid w:val="56B802D4"/>
    <w:rsid w:val="56C975DE"/>
    <w:rsid w:val="56DC20E2"/>
    <w:rsid w:val="56E4636E"/>
    <w:rsid w:val="57170A06"/>
    <w:rsid w:val="57201521"/>
    <w:rsid w:val="572447EF"/>
    <w:rsid w:val="572C68C1"/>
    <w:rsid w:val="573E4F0A"/>
    <w:rsid w:val="573F55D2"/>
    <w:rsid w:val="574A1F08"/>
    <w:rsid w:val="57573499"/>
    <w:rsid w:val="57633665"/>
    <w:rsid w:val="576C6D3A"/>
    <w:rsid w:val="57780B5F"/>
    <w:rsid w:val="57856E07"/>
    <w:rsid w:val="57865AF6"/>
    <w:rsid w:val="57884441"/>
    <w:rsid w:val="5795354E"/>
    <w:rsid w:val="57993EFF"/>
    <w:rsid w:val="579E54F9"/>
    <w:rsid w:val="57AA0B0E"/>
    <w:rsid w:val="57BA59D4"/>
    <w:rsid w:val="57BB2BED"/>
    <w:rsid w:val="57BC080A"/>
    <w:rsid w:val="57D8796C"/>
    <w:rsid w:val="57D87EBA"/>
    <w:rsid w:val="57EA2AE3"/>
    <w:rsid w:val="57F4653C"/>
    <w:rsid w:val="58012B8B"/>
    <w:rsid w:val="58161382"/>
    <w:rsid w:val="58220111"/>
    <w:rsid w:val="58297231"/>
    <w:rsid w:val="587E30B9"/>
    <w:rsid w:val="588A52AE"/>
    <w:rsid w:val="58925AF1"/>
    <w:rsid w:val="58A1236A"/>
    <w:rsid w:val="58B13473"/>
    <w:rsid w:val="58B64361"/>
    <w:rsid w:val="58EC1057"/>
    <w:rsid w:val="58F405D8"/>
    <w:rsid w:val="58FC1A24"/>
    <w:rsid w:val="59094320"/>
    <w:rsid w:val="590D4E39"/>
    <w:rsid w:val="591666C9"/>
    <w:rsid w:val="59281D08"/>
    <w:rsid w:val="592C3B4B"/>
    <w:rsid w:val="593710E8"/>
    <w:rsid w:val="59500764"/>
    <w:rsid w:val="595C48AF"/>
    <w:rsid w:val="5970475F"/>
    <w:rsid w:val="597047A6"/>
    <w:rsid w:val="59893794"/>
    <w:rsid w:val="59D27912"/>
    <w:rsid w:val="59EB277C"/>
    <w:rsid w:val="59EE737D"/>
    <w:rsid w:val="5A293AAC"/>
    <w:rsid w:val="5A2F57D9"/>
    <w:rsid w:val="5A302FFE"/>
    <w:rsid w:val="5A321016"/>
    <w:rsid w:val="5A5E37E3"/>
    <w:rsid w:val="5A740BF6"/>
    <w:rsid w:val="5A81238B"/>
    <w:rsid w:val="5A8545C4"/>
    <w:rsid w:val="5A901F57"/>
    <w:rsid w:val="5AB90918"/>
    <w:rsid w:val="5ACC057A"/>
    <w:rsid w:val="5ACE04BA"/>
    <w:rsid w:val="5AD55F75"/>
    <w:rsid w:val="5ADD5899"/>
    <w:rsid w:val="5ADD7C85"/>
    <w:rsid w:val="5ADF51F2"/>
    <w:rsid w:val="5AE90FB3"/>
    <w:rsid w:val="5B16625C"/>
    <w:rsid w:val="5B187904"/>
    <w:rsid w:val="5B280925"/>
    <w:rsid w:val="5B2D41F1"/>
    <w:rsid w:val="5B3549AF"/>
    <w:rsid w:val="5B396306"/>
    <w:rsid w:val="5B5C6FCD"/>
    <w:rsid w:val="5B7430B7"/>
    <w:rsid w:val="5B8711D8"/>
    <w:rsid w:val="5B8A6CCB"/>
    <w:rsid w:val="5BC648CA"/>
    <w:rsid w:val="5BCE5608"/>
    <w:rsid w:val="5BD92166"/>
    <w:rsid w:val="5BD95CD3"/>
    <w:rsid w:val="5C0A65BE"/>
    <w:rsid w:val="5C275688"/>
    <w:rsid w:val="5C281628"/>
    <w:rsid w:val="5C3A0302"/>
    <w:rsid w:val="5C3E2C48"/>
    <w:rsid w:val="5C4822D4"/>
    <w:rsid w:val="5C4E235C"/>
    <w:rsid w:val="5C532BA5"/>
    <w:rsid w:val="5C55693B"/>
    <w:rsid w:val="5C561826"/>
    <w:rsid w:val="5C6000A4"/>
    <w:rsid w:val="5C6D090F"/>
    <w:rsid w:val="5C953A4E"/>
    <w:rsid w:val="5C9A292F"/>
    <w:rsid w:val="5CB775A8"/>
    <w:rsid w:val="5CBA7D9C"/>
    <w:rsid w:val="5CCC60C6"/>
    <w:rsid w:val="5CCD5CDF"/>
    <w:rsid w:val="5CDD6099"/>
    <w:rsid w:val="5CDF546E"/>
    <w:rsid w:val="5CE7740D"/>
    <w:rsid w:val="5CEC1B6C"/>
    <w:rsid w:val="5CFA2A71"/>
    <w:rsid w:val="5D030EEE"/>
    <w:rsid w:val="5D0F09E4"/>
    <w:rsid w:val="5D1A38EC"/>
    <w:rsid w:val="5D2E3FC8"/>
    <w:rsid w:val="5D3172A9"/>
    <w:rsid w:val="5D3E51EC"/>
    <w:rsid w:val="5D68068E"/>
    <w:rsid w:val="5D796AAC"/>
    <w:rsid w:val="5D976EEC"/>
    <w:rsid w:val="5DB26898"/>
    <w:rsid w:val="5DC8074D"/>
    <w:rsid w:val="5DCA0A78"/>
    <w:rsid w:val="5DCB69F5"/>
    <w:rsid w:val="5DD11793"/>
    <w:rsid w:val="5DD83C04"/>
    <w:rsid w:val="5DE90F56"/>
    <w:rsid w:val="5E0C6609"/>
    <w:rsid w:val="5E0D2FB0"/>
    <w:rsid w:val="5E134CE3"/>
    <w:rsid w:val="5E165E6D"/>
    <w:rsid w:val="5E1C5169"/>
    <w:rsid w:val="5E1D4426"/>
    <w:rsid w:val="5E2037CF"/>
    <w:rsid w:val="5E2B190F"/>
    <w:rsid w:val="5E3D71AC"/>
    <w:rsid w:val="5E452AFB"/>
    <w:rsid w:val="5E457596"/>
    <w:rsid w:val="5E4D0765"/>
    <w:rsid w:val="5E550923"/>
    <w:rsid w:val="5E5A6E9D"/>
    <w:rsid w:val="5E8254A1"/>
    <w:rsid w:val="5E8717ED"/>
    <w:rsid w:val="5E8F0B44"/>
    <w:rsid w:val="5E9806CB"/>
    <w:rsid w:val="5E9973C8"/>
    <w:rsid w:val="5EC1175A"/>
    <w:rsid w:val="5ED51ADE"/>
    <w:rsid w:val="5EE04960"/>
    <w:rsid w:val="5EEC3488"/>
    <w:rsid w:val="5EF06536"/>
    <w:rsid w:val="5EF62943"/>
    <w:rsid w:val="5EF635F0"/>
    <w:rsid w:val="5F2B0A09"/>
    <w:rsid w:val="5F403D9D"/>
    <w:rsid w:val="5F5223FF"/>
    <w:rsid w:val="5F875A34"/>
    <w:rsid w:val="5F8D5E99"/>
    <w:rsid w:val="5F966ABD"/>
    <w:rsid w:val="5F9D714E"/>
    <w:rsid w:val="5FD117C0"/>
    <w:rsid w:val="5FE9376B"/>
    <w:rsid w:val="60046E35"/>
    <w:rsid w:val="60362D51"/>
    <w:rsid w:val="605A7C9E"/>
    <w:rsid w:val="606A5B2A"/>
    <w:rsid w:val="607C23DB"/>
    <w:rsid w:val="6080445F"/>
    <w:rsid w:val="60817BBC"/>
    <w:rsid w:val="60EB2C93"/>
    <w:rsid w:val="61007301"/>
    <w:rsid w:val="61031180"/>
    <w:rsid w:val="61111D51"/>
    <w:rsid w:val="611C5DB1"/>
    <w:rsid w:val="611F2EA9"/>
    <w:rsid w:val="612C1190"/>
    <w:rsid w:val="616468F8"/>
    <w:rsid w:val="61AC454A"/>
    <w:rsid w:val="61CF5854"/>
    <w:rsid w:val="61DF0FEA"/>
    <w:rsid w:val="61EB0C02"/>
    <w:rsid w:val="61FB6FC7"/>
    <w:rsid w:val="62253C05"/>
    <w:rsid w:val="62351783"/>
    <w:rsid w:val="623C77A1"/>
    <w:rsid w:val="624F3CFA"/>
    <w:rsid w:val="62527DA5"/>
    <w:rsid w:val="627C153F"/>
    <w:rsid w:val="62882E90"/>
    <w:rsid w:val="629658FC"/>
    <w:rsid w:val="629B2F29"/>
    <w:rsid w:val="629C4DB1"/>
    <w:rsid w:val="62B436A4"/>
    <w:rsid w:val="62BB2188"/>
    <w:rsid w:val="62C264B4"/>
    <w:rsid w:val="62ED3276"/>
    <w:rsid w:val="62FA7112"/>
    <w:rsid w:val="62FB3199"/>
    <w:rsid w:val="63073801"/>
    <w:rsid w:val="63261838"/>
    <w:rsid w:val="6367735E"/>
    <w:rsid w:val="637D4DEB"/>
    <w:rsid w:val="637D52B0"/>
    <w:rsid w:val="638B6559"/>
    <w:rsid w:val="63945C3E"/>
    <w:rsid w:val="63C96D02"/>
    <w:rsid w:val="63D64BAB"/>
    <w:rsid w:val="63DE39B7"/>
    <w:rsid w:val="63E543C1"/>
    <w:rsid w:val="63F44D3A"/>
    <w:rsid w:val="64011C7F"/>
    <w:rsid w:val="640D76C0"/>
    <w:rsid w:val="64236CA4"/>
    <w:rsid w:val="642857AE"/>
    <w:rsid w:val="64374636"/>
    <w:rsid w:val="648B1BFD"/>
    <w:rsid w:val="64990D47"/>
    <w:rsid w:val="64A123A9"/>
    <w:rsid w:val="64AD23A7"/>
    <w:rsid w:val="64B10C2C"/>
    <w:rsid w:val="64B14820"/>
    <w:rsid w:val="64BC32C7"/>
    <w:rsid w:val="64C0390D"/>
    <w:rsid w:val="64CF3FF6"/>
    <w:rsid w:val="64D8405B"/>
    <w:rsid w:val="64DB07C6"/>
    <w:rsid w:val="64E279F0"/>
    <w:rsid w:val="64EA220C"/>
    <w:rsid w:val="64EE61FF"/>
    <w:rsid w:val="6513399A"/>
    <w:rsid w:val="65152C15"/>
    <w:rsid w:val="654E2FBF"/>
    <w:rsid w:val="65B15CE6"/>
    <w:rsid w:val="65BF63AB"/>
    <w:rsid w:val="65C24844"/>
    <w:rsid w:val="65C354CE"/>
    <w:rsid w:val="65C80B6E"/>
    <w:rsid w:val="65CE38F7"/>
    <w:rsid w:val="65E14825"/>
    <w:rsid w:val="65F75409"/>
    <w:rsid w:val="66057D75"/>
    <w:rsid w:val="66111B9D"/>
    <w:rsid w:val="662D64D2"/>
    <w:rsid w:val="663660EB"/>
    <w:rsid w:val="664843CC"/>
    <w:rsid w:val="666118DC"/>
    <w:rsid w:val="666461A6"/>
    <w:rsid w:val="66655661"/>
    <w:rsid w:val="667417F6"/>
    <w:rsid w:val="667A2188"/>
    <w:rsid w:val="667C0730"/>
    <w:rsid w:val="66946FBB"/>
    <w:rsid w:val="66D033D4"/>
    <w:rsid w:val="66D06E14"/>
    <w:rsid w:val="66DA1D2A"/>
    <w:rsid w:val="66E71B1D"/>
    <w:rsid w:val="66FB3482"/>
    <w:rsid w:val="67021C51"/>
    <w:rsid w:val="67097837"/>
    <w:rsid w:val="670F7D5E"/>
    <w:rsid w:val="67240C7C"/>
    <w:rsid w:val="67387E4A"/>
    <w:rsid w:val="673D2D5E"/>
    <w:rsid w:val="674A25E2"/>
    <w:rsid w:val="675168C7"/>
    <w:rsid w:val="67685EF2"/>
    <w:rsid w:val="677671A1"/>
    <w:rsid w:val="67775CAC"/>
    <w:rsid w:val="67A517DB"/>
    <w:rsid w:val="67B334DC"/>
    <w:rsid w:val="67D94D2E"/>
    <w:rsid w:val="67E107BD"/>
    <w:rsid w:val="67F11ED6"/>
    <w:rsid w:val="6805118B"/>
    <w:rsid w:val="681A38D9"/>
    <w:rsid w:val="682E257A"/>
    <w:rsid w:val="68572311"/>
    <w:rsid w:val="68625174"/>
    <w:rsid w:val="68760DEA"/>
    <w:rsid w:val="688D235C"/>
    <w:rsid w:val="68C56272"/>
    <w:rsid w:val="68C80861"/>
    <w:rsid w:val="68D727A1"/>
    <w:rsid w:val="68E64FE6"/>
    <w:rsid w:val="68EF5DDE"/>
    <w:rsid w:val="690436D8"/>
    <w:rsid w:val="69262B12"/>
    <w:rsid w:val="692674EA"/>
    <w:rsid w:val="69283F50"/>
    <w:rsid w:val="692C69F5"/>
    <w:rsid w:val="693844B8"/>
    <w:rsid w:val="693D5C60"/>
    <w:rsid w:val="693E64E7"/>
    <w:rsid w:val="69405848"/>
    <w:rsid w:val="694A0B24"/>
    <w:rsid w:val="694E5350"/>
    <w:rsid w:val="6956585F"/>
    <w:rsid w:val="69840655"/>
    <w:rsid w:val="698C59F0"/>
    <w:rsid w:val="69BD2119"/>
    <w:rsid w:val="69BF3FA6"/>
    <w:rsid w:val="69CE74A4"/>
    <w:rsid w:val="69E95F81"/>
    <w:rsid w:val="69F94C66"/>
    <w:rsid w:val="6A0B4AFD"/>
    <w:rsid w:val="6A1870BD"/>
    <w:rsid w:val="6A2A1C37"/>
    <w:rsid w:val="6A3B4A23"/>
    <w:rsid w:val="6A4F63E1"/>
    <w:rsid w:val="6A5E6092"/>
    <w:rsid w:val="6A847A9E"/>
    <w:rsid w:val="6AA413C9"/>
    <w:rsid w:val="6ABD55AD"/>
    <w:rsid w:val="6AC42377"/>
    <w:rsid w:val="6AF020B1"/>
    <w:rsid w:val="6AF34968"/>
    <w:rsid w:val="6AF3767D"/>
    <w:rsid w:val="6AF755A2"/>
    <w:rsid w:val="6B0B2D67"/>
    <w:rsid w:val="6B1C0370"/>
    <w:rsid w:val="6B3602F4"/>
    <w:rsid w:val="6B44508B"/>
    <w:rsid w:val="6B4D0E74"/>
    <w:rsid w:val="6B4F0D0F"/>
    <w:rsid w:val="6B5136E7"/>
    <w:rsid w:val="6B6B5ECA"/>
    <w:rsid w:val="6B6C570B"/>
    <w:rsid w:val="6B783FDC"/>
    <w:rsid w:val="6B7D2C66"/>
    <w:rsid w:val="6B876F24"/>
    <w:rsid w:val="6B922F7B"/>
    <w:rsid w:val="6B9675C5"/>
    <w:rsid w:val="6B9A3E75"/>
    <w:rsid w:val="6BAF3DC9"/>
    <w:rsid w:val="6BB24129"/>
    <w:rsid w:val="6BC849F9"/>
    <w:rsid w:val="6BCF626D"/>
    <w:rsid w:val="6BD467FC"/>
    <w:rsid w:val="6BE02668"/>
    <w:rsid w:val="6BE218E6"/>
    <w:rsid w:val="6BEF7609"/>
    <w:rsid w:val="6C1F3B26"/>
    <w:rsid w:val="6C3469C9"/>
    <w:rsid w:val="6C5F1E1F"/>
    <w:rsid w:val="6C667106"/>
    <w:rsid w:val="6C6F50A9"/>
    <w:rsid w:val="6C805459"/>
    <w:rsid w:val="6C907797"/>
    <w:rsid w:val="6C977140"/>
    <w:rsid w:val="6CAB6091"/>
    <w:rsid w:val="6CC230A4"/>
    <w:rsid w:val="6CC53DEB"/>
    <w:rsid w:val="6CD95AB8"/>
    <w:rsid w:val="6CEA50A2"/>
    <w:rsid w:val="6D210E00"/>
    <w:rsid w:val="6D2A3429"/>
    <w:rsid w:val="6D2F4299"/>
    <w:rsid w:val="6D333DC6"/>
    <w:rsid w:val="6D3C1778"/>
    <w:rsid w:val="6D476879"/>
    <w:rsid w:val="6D4A46BB"/>
    <w:rsid w:val="6D503E66"/>
    <w:rsid w:val="6D5201F9"/>
    <w:rsid w:val="6D622565"/>
    <w:rsid w:val="6D9042B1"/>
    <w:rsid w:val="6D971367"/>
    <w:rsid w:val="6DA83AFA"/>
    <w:rsid w:val="6DA840C3"/>
    <w:rsid w:val="6DB27A3B"/>
    <w:rsid w:val="6DCA545B"/>
    <w:rsid w:val="6DE14724"/>
    <w:rsid w:val="6E082CAB"/>
    <w:rsid w:val="6E114777"/>
    <w:rsid w:val="6E194DD5"/>
    <w:rsid w:val="6E2C7792"/>
    <w:rsid w:val="6E45635D"/>
    <w:rsid w:val="6E6B0590"/>
    <w:rsid w:val="6E7B7566"/>
    <w:rsid w:val="6E924DE8"/>
    <w:rsid w:val="6EA364E9"/>
    <w:rsid w:val="6EAD5420"/>
    <w:rsid w:val="6EB1034A"/>
    <w:rsid w:val="6EB46043"/>
    <w:rsid w:val="6ECE6828"/>
    <w:rsid w:val="6ED13EA2"/>
    <w:rsid w:val="6ED6172E"/>
    <w:rsid w:val="6F001C47"/>
    <w:rsid w:val="6F20670D"/>
    <w:rsid w:val="6F206E8C"/>
    <w:rsid w:val="6F33620A"/>
    <w:rsid w:val="6F420969"/>
    <w:rsid w:val="6F4259AD"/>
    <w:rsid w:val="6F590C2D"/>
    <w:rsid w:val="6F5C7892"/>
    <w:rsid w:val="6F5D1E28"/>
    <w:rsid w:val="6F7655C4"/>
    <w:rsid w:val="6F7800FE"/>
    <w:rsid w:val="6F7B7959"/>
    <w:rsid w:val="6F830903"/>
    <w:rsid w:val="6F862A2D"/>
    <w:rsid w:val="6FA4640B"/>
    <w:rsid w:val="6FB410D2"/>
    <w:rsid w:val="6FCE2827"/>
    <w:rsid w:val="6FCF438D"/>
    <w:rsid w:val="6FD05AFF"/>
    <w:rsid w:val="6FD37BAC"/>
    <w:rsid w:val="6FD82DA3"/>
    <w:rsid w:val="6FEE7430"/>
    <w:rsid w:val="6FF165BF"/>
    <w:rsid w:val="6FFE7E49"/>
    <w:rsid w:val="703F6AB7"/>
    <w:rsid w:val="704165E1"/>
    <w:rsid w:val="70460DD2"/>
    <w:rsid w:val="704F5B2D"/>
    <w:rsid w:val="706865F7"/>
    <w:rsid w:val="7069467B"/>
    <w:rsid w:val="70733F53"/>
    <w:rsid w:val="707A1CF5"/>
    <w:rsid w:val="708556B8"/>
    <w:rsid w:val="708639A7"/>
    <w:rsid w:val="708E6429"/>
    <w:rsid w:val="70B00070"/>
    <w:rsid w:val="70E153DB"/>
    <w:rsid w:val="70E43FBF"/>
    <w:rsid w:val="70EB0325"/>
    <w:rsid w:val="71185FE1"/>
    <w:rsid w:val="711F272F"/>
    <w:rsid w:val="71294C5D"/>
    <w:rsid w:val="712D10E0"/>
    <w:rsid w:val="71422839"/>
    <w:rsid w:val="71515C54"/>
    <w:rsid w:val="717D5C2A"/>
    <w:rsid w:val="7199551E"/>
    <w:rsid w:val="719F79B0"/>
    <w:rsid w:val="71A20F41"/>
    <w:rsid w:val="71A72AF0"/>
    <w:rsid w:val="71B279C0"/>
    <w:rsid w:val="71B905C0"/>
    <w:rsid w:val="71CE5372"/>
    <w:rsid w:val="71E768C2"/>
    <w:rsid w:val="71EE7A69"/>
    <w:rsid w:val="71F00988"/>
    <w:rsid w:val="721D27C5"/>
    <w:rsid w:val="721E014B"/>
    <w:rsid w:val="723A48A0"/>
    <w:rsid w:val="72403F1F"/>
    <w:rsid w:val="72437F8B"/>
    <w:rsid w:val="72457D96"/>
    <w:rsid w:val="724E5F64"/>
    <w:rsid w:val="724F3A3B"/>
    <w:rsid w:val="72533ED7"/>
    <w:rsid w:val="72630FEF"/>
    <w:rsid w:val="72746733"/>
    <w:rsid w:val="72812842"/>
    <w:rsid w:val="72984DF8"/>
    <w:rsid w:val="72A152A2"/>
    <w:rsid w:val="72BF19B3"/>
    <w:rsid w:val="72D559AD"/>
    <w:rsid w:val="72E30C7F"/>
    <w:rsid w:val="72F94194"/>
    <w:rsid w:val="73043E3F"/>
    <w:rsid w:val="730936E0"/>
    <w:rsid w:val="730971D0"/>
    <w:rsid w:val="731977F3"/>
    <w:rsid w:val="73326A8A"/>
    <w:rsid w:val="7337769F"/>
    <w:rsid w:val="7338789F"/>
    <w:rsid w:val="733D3E06"/>
    <w:rsid w:val="734A4AE6"/>
    <w:rsid w:val="734A6AA6"/>
    <w:rsid w:val="73586838"/>
    <w:rsid w:val="73595E73"/>
    <w:rsid w:val="736C4439"/>
    <w:rsid w:val="73771904"/>
    <w:rsid w:val="73A51C9B"/>
    <w:rsid w:val="73BE4DF5"/>
    <w:rsid w:val="74017DF2"/>
    <w:rsid w:val="741203C8"/>
    <w:rsid w:val="74242B2D"/>
    <w:rsid w:val="742524FB"/>
    <w:rsid w:val="742D6B13"/>
    <w:rsid w:val="7432466D"/>
    <w:rsid w:val="74447D18"/>
    <w:rsid w:val="7446632A"/>
    <w:rsid w:val="74521A5D"/>
    <w:rsid w:val="74563626"/>
    <w:rsid w:val="74697E69"/>
    <w:rsid w:val="747131BB"/>
    <w:rsid w:val="74753105"/>
    <w:rsid w:val="747E1420"/>
    <w:rsid w:val="748549B7"/>
    <w:rsid w:val="748B71DB"/>
    <w:rsid w:val="748C0B99"/>
    <w:rsid w:val="749724B9"/>
    <w:rsid w:val="749C3ADE"/>
    <w:rsid w:val="74B55D10"/>
    <w:rsid w:val="74B70859"/>
    <w:rsid w:val="74FF51CE"/>
    <w:rsid w:val="75073C41"/>
    <w:rsid w:val="75296BD9"/>
    <w:rsid w:val="752F7773"/>
    <w:rsid w:val="756458B1"/>
    <w:rsid w:val="7567025D"/>
    <w:rsid w:val="756D3E86"/>
    <w:rsid w:val="75716D25"/>
    <w:rsid w:val="757875D5"/>
    <w:rsid w:val="75824561"/>
    <w:rsid w:val="759F607C"/>
    <w:rsid w:val="75A7154A"/>
    <w:rsid w:val="75C816B2"/>
    <w:rsid w:val="75CF34C4"/>
    <w:rsid w:val="75E32189"/>
    <w:rsid w:val="75EA2A13"/>
    <w:rsid w:val="76020A07"/>
    <w:rsid w:val="76120196"/>
    <w:rsid w:val="76172844"/>
    <w:rsid w:val="762B7071"/>
    <w:rsid w:val="76517ABA"/>
    <w:rsid w:val="76592E52"/>
    <w:rsid w:val="766571C2"/>
    <w:rsid w:val="76674A08"/>
    <w:rsid w:val="766D792A"/>
    <w:rsid w:val="76826371"/>
    <w:rsid w:val="7691363E"/>
    <w:rsid w:val="76926936"/>
    <w:rsid w:val="76A35793"/>
    <w:rsid w:val="76B51078"/>
    <w:rsid w:val="76CA2AA7"/>
    <w:rsid w:val="770C1260"/>
    <w:rsid w:val="771866CA"/>
    <w:rsid w:val="771922C1"/>
    <w:rsid w:val="771E79BF"/>
    <w:rsid w:val="773C4086"/>
    <w:rsid w:val="774C2FF4"/>
    <w:rsid w:val="774E33C8"/>
    <w:rsid w:val="7756677A"/>
    <w:rsid w:val="77601733"/>
    <w:rsid w:val="77633CDF"/>
    <w:rsid w:val="776C3A0B"/>
    <w:rsid w:val="77707E62"/>
    <w:rsid w:val="77764EDB"/>
    <w:rsid w:val="77781C39"/>
    <w:rsid w:val="777C610E"/>
    <w:rsid w:val="779D493C"/>
    <w:rsid w:val="77A63161"/>
    <w:rsid w:val="77BD1A4F"/>
    <w:rsid w:val="77C16C09"/>
    <w:rsid w:val="77DB44AA"/>
    <w:rsid w:val="77DE24AA"/>
    <w:rsid w:val="77F82870"/>
    <w:rsid w:val="780048EE"/>
    <w:rsid w:val="780F16FC"/>
    <w:rsid w:val="781362B2"/>
    <w:rsid w:val="7815400D"/>
    <w:rsid w:val="781E0715"/>
    <w:rsid w:val="78254EE2"/>
    <w:rsid w:val="78304CBF"/>
    <w:rsid w:val="783249C6"/>
    <w:rsid w:val="78385E42"/>
    <w:rsid w:val="783D276A"/>
    <w:rsid w:val="784B4DD8"/>
    <w:rsid w:val="785822F1"/>
    <w:rsid w:val="78757AB5"/>
    <w:rsid w:val="787F3343"/>
    <w:rsid w:val="78874956"/>
    <w:rsid w:val="788B7386"/>
    <w:rsid w:val="78904985"/>
    <w:rsid w:val="78966694"/>
    <w:rsid w:val="78AB5C43"/>
    <w:rsid w:val="78B3438A"/>
    <w:rsid w:val="78D50A0E"/>
    <w:rsid w:val="78DE298D"/>
    <w:rsid w:val="78E800B8"/>
    <w:rsid w:val="78F45691"/>
    <w:rsid w:val="78FB3070"/>
    <w:rsid w:val="790B10F2"/>
    <w:rsid w:val="79145815"/>
    <w:rsid w:val="792167EA"/>
    <w:rsid w:val="792E56B4"/>
    <w:rsid w:val="796179EF"/>
    <w:rsid w:val="796D7DE1"/>
    <w:rsid w:val="796F32A2"/>
    <w:rsid w:val="797B307C"/>
    <w:rsid w:val="798177ED"/>
    <w:rsid w:val="79AE5D71"/>
    <w:rsid w:val="79D143EB"/>
    <w:rsid w:val="79E7763B"/>
    <w:rsid w:val="7A25148A"/>
    <w:rsid w:val="7A301B34"/>
    <w:rsid w:val="7A3D3FD5"/>
    <w:rsid w:val="7A4E520C"/>
    <w:rsid w:val="7A741FB5"/>
    <w:rsid w:val="7A8D1B84"/>
    <w:rsid w:val="7A8D678E"/>
    <w:rsid w:val="7A94555F"/>
    <w:rsid w:val="7AC371F6"/>
    <w:rsid w:val="7AD81093"/>
    <w:rsid w:val="7AEA7616"/>
    <w:rsid w:val="7B196709"/>
    <w:rsid w:val="7B5812CA"/>
    <w:rsid w:val="7B5F2D56"/>
    <w:rsid w:val="7B615DFB"/>
    <w:rsid w:val="7B646E38"/>
    <w:rsid w:val="7B7457D0"/>
    <w:rsid w:val="7B841A35"/>
    <w:rsid w:val="7BBB6CBC"/>
    <w:rsid w:val="7BE074DC"/>
    <w:rsid w:val="7BFB51FE"/>
    <w:rsid w:val="7BFE37B9"/>
    <w:rsid w:val="7C000401"/>
    <w:rsid w:val="7C0B677A"/>
    <w:rsid w:val="7C0F06D6"/>
    <w:rsid w:val="7C1D0E9C"/>
    <w:rsid w:val="7C2D6263"/>
    <w:rsid w:val="7C376A3B"/>
    <w:rsid w:val="7C417552"/>
    <w:rsid w:val="7C476872"/>
    <w:rsid w:val="7C515881"/>
    <w:rsid w:val="7C866EFE"/>
    <w:rsid w:val="7C940282"/>
    <w:rsid w:val="7CA21C8A"/>
    <w:rsid w:val="7CAF571D"/>
    <w:rsid w:val="7CBF2600"/>
    <w:rsid w:val="7CD640A2"/>
    <w:rsid w:val="7CDA0EE7"/>
    <w:rsid w:val="7CEE1FD3"/>
    <w:rsid w:val="7CF9134A"/>
    <w:rsid w:val="7D062F15"/>
    <w:rsid w:val="7D134390"/>
    <w:rsid w:val="7D1F6BD7"/>
    <w:rsid w:val="7D623BAF"/>
    <w:rsid w:val="7D653516"/>
    <w:rsid w:val="7D6C0E17"/>
    <w:rsid w:val="7D6E4856"/>
    <w:rsid w:val="7D730CDE"/>
    <w:rsid w:val="7D9112D6"/>
    <w:rsid w:val="7D9A5180"/>
    <w:rsid w:val="7DB5670D"/>
    <w:rsid w:val="7DBA7854"/>
    <w:rsid w:val="7DE5359B"/>
    <w:rsid w:val="7DF43174"/>
    <w:rsid w:val="7E016B5F"/>
    <w:rsid w:val="7E0F51A9"/>
    <w:rsid w:val="7E1352BE"/>
    <w:rsid w:val="7E1E7508"/>
    <w:rsid w:val="7E2257AD"/>
    <w:rsid w:val="7E3C434B"/>
    <w:rsid w:val="7E427C80"/>
    <w:rsid w:val="7E456679"/>
    <w:rsid w:val="7E471022"/>
    <w:rsid w:val="7E545CE0"/>
    <w:rsid w:val="7E62219A"/>
    <w:rsid w:val="7E6D0391"/>
    <w:rsid w:val="7E7E4B34"/>
    <w:rsid w:val="7E885133"/>
    <w:rsid w:val="7E8D663F"/>
    <w:rsid w:val="7E9115EF"/>
    <w:rsid w:val="7E941A99"/>
    <w:rsid w:val="7ED30C0C"/>
    <w:rsid w:val="7EE5313E"/>
    <w:rsid w:val="7EEB3DFF"/>
    <w:rsid w:val="7EF127D4"/>
    <w:rsid w:val="7F005EF6"/>
    <w:rsid w:val="7F25635B"/>
    <w:rsid w:val="7F257EA7"/>
    <w:rsid w:val="7F266433"/>
    <w:rsid w:val="7F3C0A6B"/>
    <w:rsid w:val="7F3D7AF6"/>
    <w:rsid w:val="7F3F79E5"/>
    <w:rsid w:val="7F4245BE"/>
    <w:rsid w:val="7F5C6600"/>
    <w:rsid w:val="7F5E340E"/>
    <w:rsid w:val="7F7C4195"/>
    <w:rsid w:val="7F902275"/>
    <w:rsid w:val="7FA0420F"/>
    <w:rsid w:val="7FA80B96"/>
    <w:rsid w:val="7FAA2964"/>
    <w:rsid w:val="7FBD5C2A"/>
    <w:rsid w:val="7FD33CBE"/>
    <w:rsid w:val="7FEB0680"/>
    <w:rsid w:val="7FEE5B6F"/>
    <w:rsid w:val="7FFA184F"/>
    <w:rsid w:val="7FFF0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keepNext/>
      <w:tabs>
        <w:tab w:val="left" w:pos="3360"/>
      </w:tabs>
      <w:snapToGrid w:val="0"/>
      <w:spacing w:beforeLines="50" w:afterLines="50" w:line="800" w:lineRule="atLeast"/>
      <w:jc w:val="center"/>
      <w:outlineLvl w:val="0"/>
    </w:pPr>
    <w:rPr>
      <w:rFonts w:eastAsia="方正小标宋简体"/>
      <w:sz w:val="44"/>
    </w:rPr>
  </w:style>
  <w:style w:type="paragraph" w:styleId="4">
    <w:name w:val="heading 2"/>
    <w:basedOn w:val="1"/>
    <w:next w:val="1"/>
    <w:link w:val="37"/>
    <w:qFormat/>
    <w:uiPriority w:val="0"/>
    <w:pPr>
      <w:keepNext/>
      <w:keepLines/>
      <w:adjustRightInd w:val="0"/>
      <w:snapToGrid w:val="0"/>
      <w:ind w:firstLine="200" w:firstLineChars="200"/>
      <w:jc w:val="left"/>
      <w:outlineLvl w:val="1"/>
    </w:pPr>
    <w:rPr>
      <w:rFonts w:ascii="宋体" w:hAnsi="宋体"/>
      <w:b/>
      <w:color w:val="943734"/>
      <w:kern w:val="0"/>
      <w:sz w:val="28"/>
    </w:rPr>
  </w:style>
  <w:style w:type="paragraph" w:styleId="5">
    <w:name w:val="heading 3"/>
    <w:basedOn w:val="1"/>
    <w:next w:val="1"/>
    <w:qFormat/>
    <w:uiPriority w:val="0"/>
    <w:pPr>
      <w:keepNext/>
      <w:keepLines/>
      <w:spacing w:line="560" w:lineRule="exact"/>
      <w:outlineLvl w:val="2"/>
    </w:pPr>
    <w:rPr>
      <w:rFonts w:eastAsia="方正楷体_GBK"/>
      <w:b/>
      <w:bCs/>
      <w:szCs w:val="32"/>
    </w:rPr>
  </w:style>
  <w:style w:type="character" w:default="1" w:styleId="27">
    <w:name w:val="Default Paragraph Font"/>
    <w:unhideWhenUsed/>
    <w:qFormat/>
    <w:uiPriority w:val="1"/>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1"/>
    <w:basedOn w:val="1"/>
    <w:next w:val="1"/>
    <w:qFormat/>
    <w:uiPriority w:val="0"/>
    <w:pPr>
      <w:spacing w:line="300" w:lineRule="auto"/>
      <w:ind w:firstLine="200" w:firstLineChars="200"/>
    </w:pPr>
    <w:rPr>
      <w:sz w:val="24"/>
    </w:rPr>
  </w:style>
  <w:style w:type="paragraph" w:styleId="6">
    <w:name w:val="annotation text"/>
    <w:basedOn w:val="1"/>
    <w:next w:val="7"/>
    <w:qFormat/>
    <w:uiPriority w:val="0"/>
    <w:pPr>
      <w:jc w:val="left"/>
    </w:pPr>
  </w:style>
  <w:style w:type="paragraph" w:styleId="7">
    <w:name w:val="annotation subject"/>
    <w:next w:val="6"/>
    <w:qFormat/>
    <w:uiPriority w:val="0"/>
    <w:pPr>
      <w:widowControl w:val="0"/>
    </w:pPr>
    <w:rPr>
      <w:rFonts w:ascii="Times New Roman" w:hAnsi="Times New Roman" w:eastAsia="宋体" w:cs="Times New Roman"/>
      <w:b/>
      <w:sz w:val="21"/>
      <w:lang w:val="en-US" w:eastAsia="zh-CN" w:bidi="ar-SA"/>
    </w:rPr>
  </w:style>
  <w:style w:type="paragraph" w:styleId="8">
    <w:name w:val="Body Text"/>
    <w:basedOn w:val="1"/>
    <w:next w:val="9"/>
    <w:link w:val="39"/>
    <w:qFormat/>
    <w:uiPriority w:val="0"/>
  </w:style>
  <w:style w:type="paragraph" w:styleId="9">
    <w:name w:val="Plain Text"/>
    <w:basedOn w:val="1"/>
    <w:next w:val="1"/>
    <w:qFormat/>
    <w:uiPriority w:val="0"/>
    <w:rPr>
      <w:rFonts w:ascii="宋体" w:hAnsi="Courier New"/>
      <w:sz w:val="21"/>
    </w:rPr>
  </w:style>
  <w:style w:type="paragraph" w:styleId="10">
    <w:name w:val="Body Text Indent"/>
    <w:basedOn w:val="1"/>
    <w:qFormat/>
    <w:uiPriority w:val="0"/>
    <w:pPr>
      <w:spacing w:line="700" w:lineRule="exact"/>
      <w:ind w:left="960"/>
    </w:pPr>
    <w:rPr>
      <w:rFonts w:ascii="Calibri" w:hAnsi="Calibri"/>
      <w:sz w:val="44"/>
    </w:rPr>
  </w:style>
  <w:style w:type="paragraph" w:styleId="11">
    <w:name w:val="toc 3"/>
    <w:basedOn w:val="1"/>
    <w:next w:val="1"/>
    <w:qFormat/>
    <w:uiPriority w:val="0"/>
    <w:pPr>
      <w:ind w:left="840" w:leftChars="400"/>
    </w:p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Balloon Text"/>
    <w:basedOn w:val="1"/>
    <w:link w:val="41"/>
    <w:unhideWhenUsed/>
    <w:qFormat/>
    <w:uiPriority w:val="0"/>
    <w:rPr>
      <w:rFonts w:ascii="Calibri" w:hAnsi="Calibri" w:eastAsia="宋体"/>
      <w:sz w:val="18"/>
      <w:szCs w:val="18"/>
    </w:rPr>
  </w:style>
  <w:style w:type="paragraph" w:styleId="15">
    <w:name w:val="footer"/>
    <w:basedOn w:val="1"/>
    <w:next w:val="16"/>
    <w:qFormat/>
    <w:uiPriority w:val="0"/>
    <w:pPr>
      <w:tabs>
        <w:tab w:val="center" w:pos="4153"/>
        <w:tab w:val="right" w:pos="8306"/>
      </w:tabs>
      <w:snapToGrid w:val="0"/>
      <w:jc w:val="left"/>
    </w:pPr>
    <w:rPr>
      <w:sz w:val="18"/>
    </w:rPr>
  </w:style>
  <w:style w:type="paragraph" w:customStyle="1" w:styleId="16">
    <w:name w:val="索引 51"/>
    <w:basedOn w:val="1"/>
    <w:next w:val="1"/>
    <w:qFormat/>
    <w:uiPriority w:val="99"/>
    <w:pPr>
      <w:ind w:left="1680"/>
    </w:p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jc w:val="left"/>
    </w:pPr>
    <w:rPr>
      <w:b/>
      <w:bCs/>
      <w:caps/>
      <w:sz w:val="20"/>
    </w:rPr>
  </w:style>
  <w:style w:type="paragraph" w:styleId="19">
    <w:name w:val="footnote text"/>
    <w:basedOn w:val="1"/>
    <w:qFormat/>
    <w:uiPriority w:val="0"/>
    <w:pPr>
      <w:snapToGrid w:val="0"/>
      <w:jc w:val="left"/>
    </w:pPr>
    <w:rPr>
      <w:rFonts w:hint="eastAsia" w:ascii="等线" w:hAnsi="等线" w:eastAsia="等线"/>
      <w:sz w:val="18"/>
      <w:szCs w:val="22"/>
    </w:rPr>
  </w:style>
  <w:style w:type="paragraph" w:styleId="20">
    <w:name w:val="toc 2"/>
    <w:basedOn w:val="1"/>
    <w:next w:val="1"/>
    <w:qFormat/>
    <w:uiPriority w:val="39"/>
    <w:pPr>
      <w:ind w:left="420" w:leftChars="200"/>
    </w:pPr>
  </w:style>
  <w:style w:type="paragraph" w:styleId="21">
    <w:name w:val="Normal (Web)"/>
    <w:basedOn w:val="1"/>
    <w:qFormat/>
    <w:uiPriority w:val="0"/>
    <w:pPr>
      <w:widowControl/>
      <w:jc w:val="left"/>
    </w:pPr>
    <w:rPr>
      <w:rFonts w:ascii="宋体" w:hAnsi="宋体" w:cs="宋体"/>
      <w:kern w:val="0"/>
    </w:rPr>
  </w:style>
  <w:style w:type="paragraph" w:styleId="22">
    <w:name w:val="Title"/>
    <w:basedOn w:val="1"/>
    <w:qFormat/>
    <w:uiPriority w:val="0"/>
    <w:pPr>
      <w:widowControl/>
      <w:spacing w:after="240" w:line="360" w:lineRule="auto"/>
      <w:jc w:val="center"/>
    </w:pPr>
    <w:rPr>
      <w:rFonts w:ascii="Arial" w:hAnsi="Arial"/>
      <w:b/>
      <w:smallCaps/>
      <w:kern w:val="28"/>
      <w:sz w:val="36"/>
      <w:szCs w:val="20"/>
      <w:lang w:eastAsia="en-US"/>
    </w:rPr>
  </w:style>
  <w:style w:type="paragraph" w:styleId="23">
    <w:name w:val="Body Text First Indent"/>
    <w:basedOn w:val="8"/>
    <w:next w:val="1"/>
    <w:qFormat/>
    <w:uiPriority w:val="0"/>
    <w:pPr>
      <w:spacing w:line="360" w:lineRule="auto"/>
      <w:ind w:firstLine="420"/>
    </w:pPr>
    <w:rPr>
      <w:rFonts w:ascii="宋体" w:hAnsi="宋体"/>
    </w:rPr>
  </w:style>
  <w:style w:type="paragraph" w:styleId="24">
    <w:name w:val="Body Text First Indent 2"/>
    <w:basedOn w:val="10"/>
    <w:qFormat/>
    <w:uiPriority w:val="0"/>
    <w:pPr>
      <w:spacing w:line="240" w:lineRule="auto"/>
      <w:ind w:left="420" w:leftChars="200" w:firstLine="420" w:firstLineChars="200"/>
    </w:pPr>
    <w:rPr>
      <w:rFonts w:ascii="Times New Roman" w:hAnsi="Times New Roman"/>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styleId="33">
    <w:name w:val="footnote reference"/>
    <w:qFormat/>
    <w:uiPriority w:val="0"/>
    <w:rPr>
      <w:vertAlign w:val="superscript"/>
    </w:rPr>
  </w:style>
  <w:style w:type="paragraph" w:customStyle="1" w:styleId="3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35">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7">
    <w:name w:val="标题 2 Char1"/>
    <w:link w:val="4"/>
    <w:qFormat/>
    <w:uiPriority w:val="0"/>
    <w:rPr>
      <w:rFonts w:ascii="宋体" w:hAnsi="宋体" w:eastAsia="方正仿宋_GBK"/>
      <w:b/>
      <w:color w:val="943734"/>
      <w:sz w:val="28"/>
    </w:rPr>
  </w:style>
  <w:style w:type="character" w:customStyle="1" w:styleId="38">
    <w:name w:val="NormalCharacter"/>
    <w:qFormat/>
    <w:uiPriority w:val="0"/>
    <w:rPr>
      <w:rFonts w:eastAsia="方正仿宋_GBK"/>
      <w:kern w:val="2"/>
      <w:sz w:val="24"/>
      <w:lang w:val="en-US" w:eastAsia="zh-CN" w:bidi="ar-SA"/>
    </w:rPr>
  </w:style>
  <w:style w:type="character" w:customStyle="1" w:styleId="39">
    <w:name w:val="正文文本 Char"/>
    <w:link w:val="8"/>
    <w:qFormat/>
    <w:uiPriority w:val="0"/>
    <w:rPr>
      <w:rFonts w:eastAsia="方正仿宋_GBK"/>
      <w:kern w:val="2"/>
      <w:sz w:val="24"/>
    </w:rPr>
  </w:style>
  <w:style w:type="character" w:customStyle="1" w:styleId="40">
    <w:name w:val="标题 2 Char"/>
    <w:qFormat/>
    <w:uiPriority w:val="0"/>
    <w:rPr>
      <w:rFonts w:ascii="宋体" w:hAnsi="宋体" w:eastAsia="方正仿宋_GBK"/>
      <w:b/>
      <w:sz w:val="28"/>
    </w:rPr>
  </w:style>
  <w:style w:type="character" w:customStyle="1" w:styleId="41">
    <w:name w:val="批注框文本 Char"/>
    <w:link w:val="14"/>
    <w:qFormat/>
    <w:uiPriority w:val="0"/>
    <w:rPr>
      <w:rFonts w:hint="default" w:ascii="Calibri" w:hAnsi="Calibri" w:cs="Calibri"/>
      <w:kern w:val="2"/>
      <w:sz w:val="18"/>
      <w:szCs w:val="18"/>
    </w:rPr>
  </w:style>
  <w:style w:type="character" w:customStyle="1" w:styleId="42">
    <w:name w:val="标题 2 字符"/>
    <w:qFormat/>
    <w:uiPriority w:val="0"/>
    <w:rPr>
      <w:rFonts w:ascii="等线 Light" w:hAnsi="等线 Light" w:eastAsia="等线 Light" w:cs="Times New Roman"/>
      <w:b/>
      <w:kern w:val="2"/>
      <w:sz w:val="32"/>
      <w:szCs w:val="32"/>
    </w:rPr>
  </w:style>
  <w:style w:type="character" w:customStyle="1" w:styleId="43">
    <w:name w:val="正文字 字符"/>
    <w:link w:val="44"/>
    <w:qFormat/>
    <w:uiPriority w:val="0"/>
    <w:rPr>
      <w:rFonts w:ascii="方正仿宋_GBK" w:hAnsi="宋体" w:eastAsia="方正仿宋_GBK"/>
      <w:kern w:val="2"/>
      <w:sz w:val="24"/>
      <w:szCs w:val="24"/>
    </w:rPr>
  </w:style>
  <w:style w:type="paragraph" w:customStyle="1" w:styleId="44">
    <w:name w:val="正文字"/>
    <w:basedOn w:val="1"/>
    <w:link w:val="43"/>
    <w:qFormat/>
    <w:uiPriority w:val="0"/>
    <w:pPr>
      <w:snapToGrid w:val="0"/>
      <w:spacing w:line="400" w:lineRule="exact"/>
      <w:ind w:firstLine="480" w:firstLineChars="200"/>
    </w:pPr>
    <w:rPr>
      <w:rFonts w:ascii="方正仿宋_GBK" w:hAnsi="宋体"/>
      <w:szCs w:val="24"/>
    </w:rPr>
  </w:style>
  <w:style w:type="paragraph" w:customStyle="1" w:styleId="45">
    <w:name w:val="列出段落1"/>
    <w:basedOn w:val="1"/>
    <w:qFormat/>
    <w:uiPriority w:val="99"/>
    <w:pPr>
      <w:ind w:firstLine="420" w:firstLineChars="200"/>
    </w:pPr>
    <w:rPr>
      <w:rFonts w:ascii="Calibri" w:hAnsi="Calibri"/>
      <w:sz w:val="28"/>
    </w:rPr>
  </w:style>
  <w:style w:type="paragraph" w:customStyle="1" w:styleId="46">
    <w:name w:val="正文缩进1"/>
    <w:basedOn w:val="1"/>
    <w:qFormat/>
    <w:uiPriority w:val="0"/>
    <w:pPr>
      <w:ind w:firstLine="420" w:firstLineChars="200"/>
    </w:pPr>
    <w:rPr>
      <w:sz w:val="32"/>
    </w:rPr>
  </w:style>
  <w:style w:type="paragraph" w:customStyle="1" w:styleId="47">
    <w:name w:val="1"/>
    <w:basedOn w:val="1"/>
    <w:next w:val="9"/>
    <w:qFormat/>
    <w:uiPriority w:val="0"/>
    <w:rPr>
      <w:rFonts w:ascii="宋体" w:hAnsi="Courier New"/>
      <w:sz w:val="21"/>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_Style 41"/>
    <w:basedOn w:val="3"/>
    <w:next w:val="1"/>
    <w:qFormat/>
    <w:uiPriority w:val="39"/>
    <w:pPr>
      <w:keepLines/>
      <w:widowControl/>
      <w:tabs>
        <w:tab w:val="clear" w:pos="3360"/>
      </w:tabs>
      <w:snapToGrid/>
      <w:spacing w:beforeLines="0" w:afterLines="0" w:line="259" w:lineRule="auto"/>
      <w:jc w:val="left"/>
      <w:outlineLvl w:val="9"/>
    </w:pPr>
    <w:rPr>
      <w:rFonts w:ascii="Calibri Light" w:hAnsi="Calibri Light" w:eastAsia="宋体"/>
      <w:color w:val="2E74B5"/>
      <w:kern w:val="0"/>
      <w:sz w:val="32"/>
      <w:szCs w:val="32"/>
    </w:rPr>
  </w:style>
  <w:style w:type="paragraph" w:customStyle="1" w:styleId="50">
    <w:name w:val="Other|1"/>
    <w:basedOn w:val="1"/>
    <w:qFormat/>
    <w:uiPriority w:val="0"/>
    <w:pPr>
      <w:spacing w:after="90" w:line="449" w:lineRule="auto"/>
      <w:ind w:firstLine="400"/>
    </w:pPr>
    <w:rPr>
      <w:rFonts w:ascii="宋体" w:hAnsi="宋体" w:cs="宋体"/>
      <w:sz w:val="28"/>
      <w:szCs w:val="28"/>
      <w:lang w:val="zh-TW" w:eastAsia="zh-TW" w:bidi="zh-TW"/>
    </w:rPr>
  </w:style>
  <w:style w:type="paragraph" w:customStyle="1" w:styleId="51">
    <w:name w:val="Heading1"/>
    <w:basedOn w:val="1"/>
    <w:next w:val="1"/>
    <w:qFormat/>
    <w:uiPriority w:val="0"/>
    <w:pPr>
      <w:keepNext/>
      <w:tabs>
        <w:tab w:val="left" w:pos="3360"/>
      </w:tabs>
      <w:snapToGrid w:val="0"/>
      <w:spacing w:before="312" w:after="156" w:line="800" w:lineRule="atLeast"/>
      <w:jc w:val="center"/>
      <w:textAlignment w:val="baseline"/>
    </w:pPr>
    <w:rPr>
      <w:rFonts w:eastAsia="黑体"/>
      <w:sz w:val="44"/>
    </w:rPr>
  </w:style>
  <w:style w:type="paragraph" w:customStyle="1" w:styleId="5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图例"/>
    <w:basedOn w:val="1"/>
    <w:qFormat/>
    <w:uiPriority w:val="0"/>
    <w:pPr>
      <w:spacing w:line="360" w:lineRule="auto"/>
      <w:jc w:val="center"/>
    </w:pPr>
    <w:rPr>
      <w:rFonts w:eastAsia="仿宋_GB2312"/>
      <w:b/>
    </w:rPr>
  </w:style>
  <w:style w:type="paragraph" w:customStyle="1" w:styleId="55">
    <w:name w:val="TOC1"/>
    <w:basedOn w:val="1"/>
    <w:next w:val="1"/>
    <w:qFormat/>
    <w:uiPriority w:val="0"/>
    <w:pPr>
      <w:jc w:val="left"/>
      <w:textAlignment w:val="baseline"/>
    </w:pPr>
    <w:rPr>
      <w:b/>
      <w:bCs/>
      <w:caps/>
      <w:sz w:val="20"/>
    </w:rPr>
  </w:style>
  <w:style w:type="paragraph" w:customStyle="1" w:styleId="56">
    <w:name w:val="List Paragraph1"/>
    <w:basedOn w:val="1"/>
    <w:qFormat/>
    <w:uiPriority w:val="0"/>
    <w:pPr>
      <w:ind w:firstLine="420" w:firstLineChars="200"/>
    </w:pPr>
    <w:rPr>
      <w:rFonts w:ascii="Calibri" w:hAnsi="Calibri"/>
      <w:sz w:val="21"/>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Table Paragraph"/>
    <w:basedOn w:val="1"/>
    <w:qFormat/>
    <w:uiPriority w:val="1"/>
    <w:rPr>
      <w:rFonts w:ascii="仿宋" w:hAnsi="仿宋" w:eastAsia="仿宋" w:cs="仿宋"/>
      <w:lang w:val="zh-CN" w:bidi="zh-CN"/>
    </w:rPr>
  </w:style>
  <w:style w:type="character" w:customStyle="1" w:styleId="59">
    <w:name w:val="15"/>
    <w:basedOn w:val="27"/>
    <w:qFormat/>
    <w:uiPriority w:val="0"/>
    <w:rPr>
      <w:rFonts w:hint="default" w:ascii="Times New Roman" w:hAnsi="Times New Roman" w:cs="Times New Roman"/>
    </w:rPr>
  </w:style>
  <w:style w:type="character" w:customStyle="1" w:styleId="60">
    <w:name w:val="10"/>
    <w:basedOn w:val="2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4010</Words>
  <Characters>22857</Characters>
  <Lines>1</Lines>
  <Paragraphs>1</Paragraphs>
  <TotalTime>9</TotalTime>
  <ScaleCrop>false</ScaleCrop>
  <LinksUpToDate>false</LinksUpToDate>
  <CharactersWithSpaces>26814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2022-07-06T07:39:00Z</dcterms:created>
  <dc:creator>Administrator</dc:creator>
  <cp:lastModifiedBy>吴衡1</cp:lastModifiedBy>
  <cp:lastPrinted>2023-12-14T09:11:00Z</cp:lastPrinted>
  <dcterms:modified xsi:type="dcterms:W3CDTF">2023-12-18T03:27:00Z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EC351B97C28C42E4B585594820941D5A_13</vt:lpwstr>
  </property>
</Properties>
</file>