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jc w:val="distribute"/>
        <w:rPr>
          <w:rFonts w:ascii="方正黑体_GBK" w:hAnsi="宋体" w:eastAsia="方正黑体_GBK"/>
          <w:color w:val="auto"/>
          <w:spacing w:val="20"/>
          <w:sz w:val="112"/>
          <w:szCs w:val="112"/>
          <w:highlight w:val="none"/>
        </w:rPr>
      </w:pPr>
    </w:p>
    <w:p>
      <w:pPr>
        <w:jc w:val="distribute"/>
        <w:rPr>
          <w:rFonts w:ascii="方正黑体_GBK" w:hAnsi="宋体" w:eastAsia="方正黑体_GBK"/>
          <w:color w:val="auto"/>
          <w:spacing w:val="20"/>
          <w:sz w:val="112"/>
          <w:szCs w:val="112"/>
          <w:highlight w:val="none"/>
        </w:rPr>
      </w:pPr>
      <w:r>
        <w:rPr>
          <w:rFonts w:hint="eastAsia" w:ascii="方正黑体_GBK" w:hAnsi="宋体" w:eastAsia="方正黑体_GBK"/>
          <w:color w:val="auto"/>
          <w:spacing w:val="20"/>
          <w:sz w:val="112"/>
          <w:szCs w:val="112"/>
          <w:highlight w:val="none"/>
          <w:lang w:eastAsia="zh-CN"/>
        </w:rPr>
        <w:t>遴选</w:t>
      </w:r>
      <w:r>
        <w:rPr>
          <w:rFonts w:hint="eastAsia" w:ascii="方正黑体_GBK" w:hAnsi="宋体" w:eastAsia="方正黑体_GBK"/>
          <w:color w:val="auto"/>
          <w:spacing w:val="20"/>
          <w:sz w:val="112"/>
          <w:szCs w:val="112"/>
          <w:highlight w:val="none"/>
        </w:rPr>
        <w:t>文件</w:t>
      </w:r>
    </w:p>
    <w:p>
      <w:pPr>
        <w:spacing w:line="520" w:lineRule="exact"/>
        <w:jc w:val="left"/>
        <w:rPr>
          <w:rFonts w:ascii="方正仿宋_GBK" w:hAnsi="宋体" w:eastAsia="仿宋"/>
          <w:b/>
          <w:color w:val="auto"/>
          <w:sz w:val="36"/>
          <w:szCs w:val="30"/>
          <w:highlight w:val="none"/>
        </w:rPr>
      </w:pPr>
    </w:p>
    <w:p>
      <w:pPr>
        <w:spacing w:line="520" w:lineRule="exact"/>
        <w:jc w:val="left"/>
        <w:rPr>
          <w:rFonts w:ascii="方正仿宋_GBK" w:hAnsi="宋体" w:eastAsia="仿宋"/>
          <w:b/>
          <w:color w:val="auto"/>
          <w:sz w:val="36"/>
          <w:szCs w:val="30"/>
          <w:highlight w:val="none"/>
        </w:rPr>
      </w:pPr>
    </w:p>
    <w:p>
      <w:pPr>
        <w:spacing w:line="520" w:lineRule="exact"/>
        <w:jc w:val="left"/>
        <w:rPr>
          <w:rFonts w:ascii="方正仿宋_GBK" w:hAnsi="宋体" w:eastAsia="仿宋"/>
          <w:b/>
          <w:color w:val="auto"/>
          <w:sz w:val="36"/>
          <w:szCs w:val="30"/>
          <w:highlight w:val="none"/>
        </w:rPr>
      </w:pPr>
    </w:p>
    <w:p>
      <w:pPr>
        <w:spacing w:line="520" w:lineRule="exact"/>
        <w:jc w:val="left"/>
        <w:rPr>
          <w:rFonts w:ascii="方正仿宋_GBK" w:hAnsi="宋体" w:eastAsia="仿宋"/>
          <w:b/>
          <w:color w:val="auto"/>
          <w:sz w:val="36"/>
          <w:szCs w:val="30"/>
          <w:highlight w:val="none"/>
        </w:rPr>
      </w:pPr>
    </w:p>
    <w:p>
      <w:pPr>
        <w:spacing w:line="520" w:lineRule="exact"/>
        <w:jc w:val="left"/>
        <w:rPr>
          <w:rFonts w:ascii="方正仿宋_GBK" w:hAnsi="宋体" w:eastAsia="仿宋"/>
          <w:b/>
          <w:color w:val="auto"/>
          <w:sz w:val="36"/>
          <w:szCs w:val="30"/>
          <w:highlight w:val="none"/>
        </w:rPr>
      </w:pPr>
    </w:p>
    <w:p>
      <w:pPr>
        <w:spacing w:line="520" w:lineRule="exact"/>
        <w:jc w:val="left"/>
        <w:rPr>
          <w:rFonts w:ascii="方正仿宋_GBK" w:hAnsi="宋体" w:eastAsia="仿宋"/>
          <w:b/>
          <w:color w:val="auto"/>
          <w:sz w:val="36"/>
          <w:szCs w:val="30"/>
          <w:highlight w:val="none"/>
        </w:rPr>
      </w:pPr>
    </w:p>
    <w:p>
      <w:pPr>
        <w:spacing w:line="520" w:lineRule="exact"/>
        <w:jc w:val="left"/>
        <w:rPr>
          <w:rFonts w:ascii="方正仿宋_GBK" w:hAnsi="宋体" w:eastAsia="仿宋"/>
          <w:b/>
          <w:color w:val="auto"/>
          <w:sz w:val="36"/>
          <w:szCs w:val="30"/>
          <w:highlight w:val="none"/>
        </w:rPr>
      </w:pPr>
    </w:p>
    <w:p>
      <w:pPr>
        <w:ind w:left="3040" w:leftChars="600" w:hanging="1600" w:hangingChars="500"/>
        <w:jc w:val="left"/>
        <w:rPr>
          <w:rFonts w:hint="eastAsia" w:ascii="方正仿宋_GBK" w:hAnsi="宋体" w:eastAsia="仿宋"/>
          <w:b/>
          <w:color w:val="auto"/>
          <w:sz w:val="32"/>
          <w:szCs w:val="28"/>
          <w:highlight w:val="none"/>
          <w:lang w:val="en-US" w:eastAsia="zh-CN"/>
        </w:rPr>
      </w:pPr>
      <w:r>
        <w:rPr>
          <w:rFonts w:hint="eastAsia" w:ascii="方正仿宋_GBK" w:hAnsi="宋体" w:eastAsia="仿宋"/>
          <w:b/>
          <w:color w:val="auto"/>
          <w:sz w:val="32"/>
          <w:szCs w:val="28"/>
          <w:highlight w:val="none"/>
        </w:rPr>
        <w:t>项 目 号：BNQHXYY20240</w:t>
      </w:r>
      <w:r>
        <w:rPr>
          <w:rFonts w:hint="eastAsia" w:ascii="方正仿宋_GBK" w:hAnsi="宋体" w:eastAsia="仿宋"/>
          <w:b/>
          <w:color w:val="auto"/>
          <w:sz w:val="32"/>
          <w:szCs w:val="28"/>
          <w:highlight w:val="none"/>
          <w:lang w:val="en-US" w:eastAsia="zh-CN"/>
        </w:rPr>
        <w:t>14</w:t>
      </w:r>
      <w:r>
        <w:rPr>
          <w:rFonts w:hint="eastAsia" w:ascii="方正仿宋_GBK" w:hAnsi="宋体" w:eastAsia="仿宋"/>
          <w:b/>
          <w:color w:val="auto"/>
          <w:sz w:val="32"/>
          <w:szCs w:val="28"/>
          <w:highlight w:val="none"/>
        </w:rPr>
        <w:t xml:space="preserve"> </w:t>
      </w:r>
    </w:p>
    <w:p>
      <w:pPr>
        <w:ind w:left="3040" w:leftChars="600" w:hanging="1600" w:hangingChars="500"/>
        <w:jc w:val="left"/>
        <w:rPr>
          <w:rFonts w:hint="eastAsia" w:ascii="方正仿宋_GBK" w:hAnsi="宋体" w:eastAsia="仿宋"/>
          <w:b/>
          <w:color w:val="auto"/>
          <w:sz w:val="32"/>
          <w:szCs w:val="28"/>
          <w:highlight w:val="none"/>
          <w:lang w:val="en-US" w:eastAsia="zh-CN"/>
        </w:rPr>
      </w:pPr>
      <w:r>
        <w:rPr>
          <w:rFonts w:hint="eastAsia" w:ascii="方正仿宋_GBK" w:hAnsi="宋体" w:eastAsia="仿宋"/>
          <w:b/>
          <w:color w:val="auto"/>
          <w:sz w:val="32"/>
          <w:szCs w:val="28"/>
          <w:highlight w:val="none"/>
        </w:rPr>
        <w:t>项目名称：重庆市巴南区第二人民医院</w:t>
      </w:r>
      <w:r>
        <w:rPr>
          <w:rFonts w:hint="eastAsia" w:ascii="方正仿宋_GBK" w:hAnsi="宋体" w:eastAsia="仿宋" w:cs="Times New Roman"/>
          <w:b/>
          <w:color w:val="auto"/>
          <w:sz w:val="32"/>
          <w:szCs w:val="28"/>
          <w:highlight w:val="none"/>
          <w:lang w:val="en-US" w:eastAsia="zh-CN"/>
        </w:rPr>
        <w:t>肠内营养制剂</w:t>
      </w:r>
      <w:r>
        <w:rPr>
          <w:rFonts w:hint="eastAsia" w:ascii="方正仿宋_GBK" w:hAnsi="宋体" w:eastAsia="仿宋"/>
          <w:b/>
          <w:color w:val="auto"/>
          <w:sz w:val="32"/>
          <w:szCs w:val="28"/>
          <w:highlight w:val="none"/>
          <w:lang w:eastAsia="zh-CN"/>
        </w:rPr>
        <w:t>供应商遴选</w:t>
      </w:r>
      <w:r>
        <w:rPr>
          <w:rFonts w:hint="eastAsia" w:ascii="方正仿宋_GBK" w:hAnsi="宋体" w:eastAsia="仿宋"/>
          <w:b/>
          <w:color w:val="auto"/>
          <w:sz w:val="32"/>
          <w:szCs w:val="28"/>
          <w:highlight w:val="none"/>
        </w:rPr>
        <w:t>项目</w:t>
      </w:r>
      <w:r>
        <w:rPr>
          <w:rFonts w:hint="eastAsia" w:ascii="方正仿宋_GBK" w:hAnsi="宋体" w:eastAsia="仿宋"/>
          <w:b/>
          <w:color w:val="auto"/>
          <w:sz w:val="32"/>
          <w:szCs w:val="28"/>
          <w:highlight w:val="none"/>
          <w:lang w:eastAsia="zh-CN"/>
        </w:rPr>
        <w:t>（第二次）</w:t>
      </w:r>
    </w:p>
    <w:p>
      <w:pPr>
        <w:spacing w:line="520" w:lineRule="exact"/>
        <w:jc w:val="left"/>
        <w:rPr>
          <w:rFonts w:ascii="方正仿宋_GBK" w:hAnsi="宋体" w:eastAsia="仿宋"/>
          <w:b/>
          <w:color w:val="auto"/>
          <w:sz w:val="32"/>
          <w:szCs w:val="28"/>
          <w:highlight w:val="none"/>
        </w:rPr>
      </w:pPr>
    </w:p>
    <w:p>
      <w:pPr>
        <w:spacing w:line="520" w:lineRule="exact"/>
        <w:jc w:val="left"/>
        <w:rPr>
          <w:rFonts w:ascii="方正仿宋_GBK" w:hAnsi="宋体" w:eastAsia="仿宋"/>
          <w:b/>
          <w:color w:val="auto"/>
          <w:sz w:val="32"/>
          <w:szCs w:val="28"/>
          <w:highlight w:val="none"/>
        </w:rPr>
      </w:pPr>
    </w:p>
    <w:p>
      <w:pPr>
        <w:pStyle w:val="22"/>
        <w:rPr>
          <w:color w:val="auto"/>
          <w:sz w:val="22"/>
          <w:szCs w:val="18"/>
          <w:highlight w:val="none"/>
        </w:rPr>
      </w:pPr>
    </w:p>
    <w:p>
      <w:pPr>
        <w:spacing w:line="520" w:lineRule="exact"/>
        <w:jc w:val="left"/>
        <w:rPr>
          <w:rFonts w:ascii="方正仿宋_GBK" w:hAnsi="宋体" w:eastAsia="仿宋"/>
          <w:b/>
          <w:color w:val="auto"/>
          <w:sz w:val="32"/>
          <w:szCs w:val="28"/>
          <w:highlight w:val="none"/>
        </w:rPr>
      </w:pPr>
    </w:p>
    <w:p>
      <w:pPr>
        <w:ind w:left="3680" w:leftChars="600" w:hanging="2240" w:hangingChars="700"/>
        <w:jc w:val="left"/>
        <w:rPr>
          <w:rFonts w:ascii="方正仿宋_GBK" w:hAnsi="宋体" w:eastAsia="仿宋"/>
          <w:b/>
          <w:color w:val="auto"/>
          <w:sz w:val="32"/>
          <w:szCs w:val="28"/>
          <w:highlight w:val="none"/>
        </w:rPr>
      </w:pPr>
      <w:r>
        <w:rPr>
          <w:rFonts w:hint="eastAsia" w:ascii="方正仿宋_GBK" w:hAnsi="宋体" w:eastAsia="仿宋"/>
          <w:b/>
          <w:color w:val="auto"/>
          <w:sz w:val="32"/>
          <w:szCs w:val="28"/>
          <w:highlight w:val="none"/>
        </w:rPr>
        <w:t>采购人：重庆市巴南区第二人民医院</w:t>
      </w:r>
    </w:p>
    <w:p>
      <w:pPr>
        <w:spacing w:line="520" w:lineRule="exact"/>
        <w:ind w:firstLine="480" w:firstLineChars="200"/>
        <w:jc w:val="left"/>
        <w:rPr>
          <w:rFonts w:ascii="宋体" w:hAnsi="宋体" w:eastAsia="仿宋" w:cs="宋体"/>
          <w:color w:val="auto"/>
          <w:szCs w:val="28"/>
          <w:highlight w:val="none"/>
        </w:rPr>
      </w:pPr>
    </w:p>
    <w:p>
      <w:pPr>
        <w:spacing w:line="520" w:lineRule="exact"/>
        <w:ind w:firstLine="480" w:firstLineChars="200"/>
        <w:jc w:val="left"/>
        <w:rPr>
          <w:rFonts w:ascii="宋体" w:hAnsi="宋体" w:eastAsia="仿宋" w:cs="宋体"/>
          <w:color w:val="auto"/>
          <w:szCs w:val="28"/>
          <w:highlight w:val="none"/>
        </w:rPr>
      </w:pPr>
    </w:p>
    <w:p>
      <w:pPr>
        <w:spacing w:line="520" w:lineRule="exact"/>
        <w:jc w:val="center"/>
        <w:rPr>
          <w:rFonts w:eastAsia="黑体"/>
          <w:color w:val="auto"/>
          <w:sz w:val="32"/>
          <w:szCs w:val="32"/>
          <w:highlight w:val="none"/>
        </w:rPr>
        <w:sectPr>
          <w:headerReference r:id="rId3" w:type="default"/>
          <w:footerReference r:id="rId4" w:type="default"/>
          <w:pgSz w:w="11907" w:h="16840"/>
          <w:pgMar w:top="1134" w:right="1191" w:bottom="1134" w:left="1304" w:header="794" w:footer="992" w:gutter="0"/>
          <w:pgBorders>
            <w:top w:val="none" w:sz="0" w:space="0"/>
            <w:left w:val="none" w:sz="0" w:space="0"/>
            <w:bottom w:val="none" w:sz="0" w:space="0"/>
            <w:right w:val="none" w:sz="0" w:space="0"/>
          </w:pgBorders>
          <w:pgNumType w:fmt="decimal"/>
          <w:cols w:space="720" w:num="1"/>
          <w:docGrid w:type="linesAndChars" w:linePitch="312" w:charSpace="0"/>
        </w:sectPr>
      </w:pPr>
      <w:r>
        <w:rPr>
          <w:rFonts w:hint="eastAsia" w:ascii="方正仿宋_GBK" w:hAnsi="宋体" w:eastAsia="仿宋"/>
          <w:b/>
          <w:color w:val="auto"/>
          <w:sz w:val="36"/>
          <w:szCs w:val="30"/>
          <w:highlight w:val="none"/>
        </w:rPr>
        <w:t>二〇二</w:t>
      </w:r>
      <w:r>
        <w:rPr>
          <w:rFonts w:hint="eastAsia" w:ascii="方正仿宋_GBK" w:hAnsi="宋体" w:eastAsia="仿宋"/>
          <w:b/>
          <w:color w:val="auto"/>
          <w:sz w:val="36"/>
          <w:szCs w:val="30"/>
          <w:highlight w:val="none"/>
          <w:lang w:eastAsia="zh-CN"/>
        </w:rPr>
        <w:t>四</w:t>
      </w:r>
      <w:r>
        <w:rPr>
          <w:rFonts w:hint="eastAsia" w:ascii="方正仿宋_GBK" w:hAnsi="宋体" w:eastAsia="仿宋"/>
          <w:b/>
          <w:color w:val="auto"/>
          <w:sz w:val="36"/>
          <w:szCs w:val="30"/>
          <w:highlight w:val="none"/>
        </w:rPr>
        <w:t>年</w:t>
      </w:r>
      <w:r>
        <w:rPr>
          <w:rFonts w:hint="eastAsia" w:ascii="方正仿宋_GBK" w:hAnsi="宋体" w:eastAsia="仿宋"/>
          <w:b/>
          <w:color w:val="auto"/>
          <w:sz w:val="36"/>
          <w:szCs w:val="30"/>
          <w:highlight w:val="none"/>
          <w:lang w:eastAsia="zh-CN"/>
        </w:rPr>
        <w:t>六</w:t>
      </w:r>
      <w:r>
        <w:rPr>
          <w:rFonts w:hint="eastAsia" w:ascii="方正仿宋_GBK" w:hAnsi="宋体" w:eastAsia="仿宋"/>
          <w:b/>
          <w:color w:val="auto"/>
          <w:sz w:val="36"/>
          <w:szCs w:val="30"/>
          <w:highlight w:val="none"/>
        </w:rPr>
        <w:t>月</w:t>
      </w:r>
    </w:p>
    <w:p>
      <w:pPr>
        <w:pStyle w:val="3"/>
        <w:numPr>
          <w:ilvl w:val="0"/>
          <w:numId w:val="0"/>
        </w:numPr>
        <w:spacing w:before="156" w:after="156"/>
        <w:ind w:leftChars="0"/>
        <w:jc w:val="center"/>
        <w:rPr>
          <w:color w:val="auto"/>
          <w:highlight w:val="none"/>
        </w:rPr>
      </w:pPr>
      <w:bookmarkStart w:id="0" w:name="_Toc884"/>
      <w:bookmarkStart w:id="1" w:name="_Toc20400"/>
      <w:bookmarkStart w:id="2" w:name="_Toc25124"/>
      <w:bookmarkStart w:id="3" w:name="_Toc409189607"/>
      <w:bookmarkStart w:id="4" w:name="_Toc10860"/>
      <w:bookmarkStart w:id="5" w:name="_Toc32674"/>
      <w:bookmarkStart w:id="6" w:name="_Toc28927"/>
      <w:bookmarkStart w:id="7" w:name="_Toc1349"/>
      <w:bookmarkStart w:id="8" w:name="_Toc29247"/>
      <w:bookmarkStart w:id="9" w:name="_Toc10856"/>
      <w:bookmarkStart w:id="10" w:name="_Toc48837294"/>
      <w:bookmarkStart w:id="11" w:name="_Toc28504"/>
      <w:bookmarkStart w:id="12" w:name="_Toc12112"/>
      <w:bookmarkStart w:id="13" w:name="_Toc17834"/>
      <w:bookmarkStart w:id="14" w:name="_Toc9938"/>
      <w:bookmarkStart w:id="15" w:name="_Toc23899"/>
      <w:bookmarkStart w:id="16" w:name="_Toc19087"/>
      <w:bookmarkStart w:id="17" w:name="_Toc6324"/>
      <w:bookmarkStart w:id="18" w:name="_Toc26243"/>
      <w:bookmarkStart w:id="19" w:name="_Toc26422"/>
      <w:bookmarkStart w:id="20" w:name="_Toc22748"/>
      <w:bookmarkStart w:id="21" w:name="_Toc18640"/>
      <w:bookmarkStart w:id="22" w:name="_Toc31954"/>
      <w:bookmarkStart w:id="23" w:name="_Toc384905063"/>
      <w:bookmarkStart w:id="24" w:name="_Toc15652"/>
      <w:bookmarkStart w:id="25" w:name="_Toc31259"/>
      <w:bookmarkStart w:id="26" w:name="_Toc17236"/>
      <w:bookmarkStart w:id="27" w:name="_Toc23082"/>
      <w:bookmarkStart w:id="28" w:name="_Toc28414"/>
      <w:bookmarkStart w:id="29" w:name="_Toc31222"/>
      <w:r>
        <w:rPr>
          <w:rFonts w:hint="eastAsia"/>
          <w:color w:val="auto"/>
          <w:highlight w:val="none"/>
          <w:lang w:eastAsia="zh-CN"/>
        </w:rPr>
        <w:t>第一篇</w:t>
      </w:r>
      <w:r>
        <w:rPr>
          <w:rFonts w:hint="eastAsia"/>
          <w:color w:val="auto"/>
          <w:highlight w:val="none"/>
          <w:lang w:val="en-US" w:eastAsia="zh-CN"/>
        </w:rPr>
        <w:t xml:space="preserve">  </w:t>
      </w:r>
      <w:r>
        <w:rPr>
          <w:rFonts w:hint="eastAsia"/>
          <w:color w:val="auto"/>
          <w:highlight w:val="none"/>
        </w:rPr>
        <w:t>采购邀请书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spacing w:line="520" w:lineRule="exact"/>
        <w:ind w:firstLine="480"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重庆市巴南区第二人民医院</w:t>
      </w:r>
      <w:r>
        <w:rPr>
          <w:rFonts w:hint="eastAsia" w:ascii="方正仿宋_GBK" w:hAnsi="仿宋" w:eastAsia="仿宋" w:cs="仿宋"/>
          <w:color w:val="auto"/>
          <w:kern w:val="0"/>
          <w:szCs w:val="28"/>
          <w:highlight w:val="none"/>
          <w:lang w:val="en-US" w:eastAsia="zh-CN"/>
        </w:rPr>
        <w:t>肠内营养制剂</w:t>
      </w:r>
      <w:r>
        <w:rPr>
          <w:rFonts w:hint="eastAsia" w:ascii="方正仿宋_GBK" w:hAnsi="仿宋" w:eastAsia="仿宋" w:cs="仿宋"/>
          <w:color w:val="auto"/>
          <w:kern w:val="0"/>
          <w:szCs w:val="28"/>
          <w:highlight w:val="none"/>
          <w:lang w:eastAsia="zh-CN"/>
        </w:rPr>
        <w:t>供应商</w:t>
      </w:r>
      <w:r>
        <w:rPr>
          <w:rFonts w:hint="eastAsia" w:ascii="方正仿宋_GBK" w:hAnsi="仿宋" w:eastAsia="仿宋" w:cs="仿宋"/>
          <w:color w:val="auto"/>
          <w:kern w:val="0"/>
          <w:szCs w:val="28"/>
          <w:highlight w:val="none"/>
        </w:rPr>
        <w:t>进行</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，欢迎有资格的供应商前来参与。</w:t>
      </w:r>
    </w:p>
    <w:p>
      <w:pPr>
        <w:spacing w:before="156" w:after="156" w:line="520" w:lineRule="exact"/>
        <w:ind w:firstLine="482" w:firstLineChars="200"/>
        <w:jc w:val="left"/>
        <w:outlineLvl w:val="1"/>
        <w:rPr>
          <w:rFonts w:eastAsia="仿宋" w:cs="宋体"/>
          <w:b/>
          <w:bCs/>
          <w:color w:val="auto"/>
          <w:szCs w:val="28"/>
          <w:highlight w:val="none"/>
        </w:rPr>
      </w:pPr>
      <w:bookmarkStart w:id="30" w:name="_Toc22913"/>
      <w:bookmarkStart w:id="31" w:name="_Toc12926"/>
      <w:bookmarkStart w:id="32" w:name="_Toc12339"/>
      <w:bookmarkStart w:id="33" w:name="_Toc28983"/>
      <w:bookmarkStart w:id="34" w:name="_Toc394390667"/>
      <w:bookmarkStart w:id="35" w:name="_Toc20641"/>
      <w:bookmarkStart w:id="36" w:name="_Toc9401"/>
      <w:bookmarkStart w:id="37" w:name="_Toc17527"/>
      <w:bookmarkStart w:id="38" w:name="_Toc496021253"/>
      <w:bookmarkStart w:id="39" w:name="_Toc409189608"/>
      <w:bookmarkStart w:id="40" w:name="_Toc14384"/>
      <w:bookmarkStart w:id="41" w:name="_Toc48837295"/>
      <w:bookmarkStart w:id="42" w:name="_Toc24733"/>
      <w:bookmarkStart w:id="43" w:name="_Toc25215"/>
      <w:bookmarkStart w:id="44" w:name="_Toc30770"/>
      <w:bookmarkStart w:id="45" w:name="_Toc9329"/>
      <w:bookmarkStart w:id="46" w:name="_Toc14688"/>
      <w:bookmarkStart w:id="47" w:name="_Toc29073"/>
      <w:bookmarkStart w:id="48" w:name="_Toc28969"/>
      <w:bookmarkStart w:id="49" w:name="_Toc22920"/>
      <w:bookmarkStart w:id="50" w:name="_Toc10904"/>
      <w:bookmarkStart w:id="51" w:name="_Toc22879"/>
      <w:bookmarkStart w:id="52" w:name="_Toc20340"/>
      <w:bookmarkStart w:id="53" w:name="_Toc24079"/>
      <w:bookmarkStart w:id="54" w:name="_Toc12869"/>
      <w:bookmarkStart w:id="55" w:name="_Toc8724"/>
      <w:bookmarkStart w:id="56" w:name="_Toc8661"/>
      <w:bookmarkStart w:id="57" w:name="_Toc7453"/>
      <w:bookmarkStart w:id="58" w:name="_Toc22466"/>
      <w:bookmarkStart w:id="59" w:name="_Toc25274"/>
      <w:r>
        <w:rPr>
          <w:rFonts w:hint="eastAsia" w:eastAsia="仿宋" w:cs="宋体"/>
          <w:b/>
          <w:bCs/>
          <w:color w:val="auto"/>
          <w:szCs w:val="28"/>
          <w:highlight w:val="none"/>
        </w:rPr>
        <w:t>一、</w:t>
      </w:r>
      <w:bookmarkEnd w:id="30"/>
      <w:bookmarkEnd w:id="31"/>
      <w:bookmarkEnd w:id="32"/>
      <w:bookmarkEnd w:id="33"/>
      <w:bookmarkEnd w:id="34"/>
      <w:bookmarkEnd w:id="35"/>
      <w:bookmarkEnd w:id="36"/>
      <w:bookmarkEnd w:id="37"/>
      <w:bookmarkEnd w:id="38"/>
      <w:bookmarkEnd w:id="39"/>
      <w:bookmarkEnd w:id="40"/>
      <w:r>
        <w:rPr>
          <w:rFonts w:hint="eastAsia" w:eastAsia="仿宋" w:cs="宋体"/>
          <w:b/>
          <w:bCs/>
          <w:color w:val="auto"/>
          <w:szCs w:val="28"/>
          <w:highlight w:val="none"/>
          <w:lang w:eastAsia="zh-CN"/>
        </w:rPr>
        <w:t>遴选</w:t>
      </w:r>
      <w:r>
        <w:rPr>
          <w:rFonts w:hint="eastAsia" w:eastAsia="仿宋" w:cs="宋体"/>
          <w:b/>
          <w:bCs/>
          <w:color w:val="auto"/>
          <w:szCs w:val="28"/>
          <w:highlight w:val="none"/>
        </w:rPr>
        <w:t>内容</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tbl>
      <w:tblPr>
        <w:tblStyle w:val="24"/>
        <w:tblW w:w="8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55"/>
        <w:gridCol w:w="2519"/>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9" w:hRule="atLeast"/>
          <w:jc w:val="center"/>
        </w:trPr>
        <w:tc>
          <w:tcPr>
            <w:tcW w:w="4155"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仿宋" w:cs="方正仿宋_GBK"/>
                <w:b/>
                <w:bCs/>
                <w:color w:val="auto"/>
                <w:szCs w:val="18"/>
                <w:highlight w:val="none"/>
              </w:rPr>
            </w:pPr>
            <w:bookmarkStart w:id="60" w:name="_Toc30285"/>
            <w:bookmarkStart w:id="61" w:name="_Toc48837296"/>
            <w:bookmarkStart w:id="62" w:name="_Toc17801"/>
            <w:bookmarkStart w:id="63" w:name="_Toc31035"/>
            <w:bookmarkStart w:id="64" w:name="_Toc28493"/>
            <w:bookmarkStart w:id="65" w:name="_Toc29325"/>
            <w:bookmarkStart w:id="66" w:name="_Toc16154"/>
            <w:bookmarkStart w:id="67" w:name="_Toc25113"/>
            <w:bookmarkStart w:id="68" w:name="_Toc15377"/>
            <w:bookmarkStart w:id="69" w:name="_Toc17029"/>
            <w:bookmarkStart w:id="70" w:name="_Toc24335"/>
            <w:bookmarkStart w:id="71" w:name="_Toc394390668"/>
            <w:bookmarkStart w:id="72" w:name="_Toc18183"/>
            <w:bookmarkStart w:id="73" w:name="_Toc409189609"/>
            <w:bookmarkStart w:id="74" w:name="_Toc21812"/>
            <w:bookmarkStart w:id="75" w:name="_Toc20059"/>
            <w:r>
              <w:rPr>
                <w:rFonts w:hint="eastAsia" w:ascii="方正仿宋_GBK" w:hAnsi="方正仿宋_GBK" w:eastAsia="仿宋" w:cs="方正仿宋_GBK"/>
                <w:b/>
                <w:bCs/>
                <w:color w:val="auto"/>
                <w:szCs w:val="18"/>
                <w:highlight w:val="none"/>
              </w:rPr>
              <w:t>项目名称</w:t>
            </w:r>
          </w:p>
        </w:tc>
        <w:tc>
          <w:tcPr>
            <w:tcW w:w="2519"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仿宋" w:cs="方正仿宋_GBK"/>
                <w:b/>
                <w:bCs/>
                <w:color w:val="auto"/>
                <w:szCs w:val="18"/>
                <w:highlight w:val="none"/>
              </w:rPr>
            </w:pPr>
            <w:r>
              <w:rPr>
                <w:rFonts w:hint="eastAsia" w:ascii="方正仿宋_GBK" w:hAnsi="方正仿宋_GBK" w:eastAsia="仿宋" w:cs="方正仿宋_GBK"/>
                <w:b/>
                <w:bCs/>
                <w:color w:val="auto"/>
                <w:szCs w:val="18"/>
                <w:highlight w:val="none"/>
                <w:lang w:eastAsia="zh-CN"/>
              </w:rPr>
              <w:t>遴选</w:t>
            </w:r>
            <w:r>
              <w:rPr>
                <w:rFonts w:hint="eastAsia" w:ascii="方正仿宋_GBK" w:hAnsi="方正仿宋_GBK" w:eastAsia="仿宋" w:cs="方正仿宋_GBK"/>
                <w:b/>
                <w:bCs/>
                <w:color w:val="auto"/>
                <w:szCs w:val="18"/>
                <w:highlight w:val="none"/>
              </w:rPr>
              <w:t>供应商数量</w:t>
            </w:r>
          </w:p>
        </w:tc>
        <w:tc>
          <w:tcPr>
            <w:tcW w:w="1672" w:type="dxa"/>
            <w:vAlign w:val="center"/>
          </w:tcPr>
          <w:p>
            <w:pPr>
              <w:keepNext w:val="0"/>
              <w:keepLines w:val="0"/>
              <w:suppressLineNumbers w:val="0"/>
              <w:spacing w:before="0" w:beforeAutospacing="0" w:after="0" w:afterAutospacing="0"/>
              <w:ind w:left="0" w:right="0"/>
              <w:jc w:val="center"/>
              <w:rPr>
                <w:rFonts w:hint="eastAsia" w:ascii="方正仿宋_GBK" w:hAnsi="方正仿宋_GBK" w:eastAsia="仿宋" w:cs="方正仿宋_GBK"/>
                <w:b/>
                <w:bCs/>
                <w:color w:val="auto"/>
                <w:szCs w:val="18"/>
                <w:highlight w:val="none"/>
                <w:lang w:eastAsia="zh-CN"/>
              </w:rPr>
            </w:pPr>
            <w:r>
              <w:rPr>
                <w:rFonts w:hint="eastAsia" w:ascii="方正仿宋_GBK" w:hAnsi="方正仿宋_GBK" w:eastAsia="仿宋" w:cs="方正仿宋_GBK"/>
                <w:b/>
                <w:bCs/>
                <w:color w:val="auto"/>
                <w:szCs w:val="18"/>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5" w:hRule="atLeast"/>
          <w:jc w:val="center"/>
        </w:trPr>
        <w:tc>
          <w:tcPr>
            <w:tcW w:w="4155" w:type="dxa"/>
            <w:vAlign w:val="center"/>
          </w:tcPr>
          <w:p>
            <w:pPr>
              <w:keepNext w:val="0"/>
              <w:keepLines w:val="0"/>
              <w:suppressLineNumbers w:val="0"/>
              <w:spacing w:before="0" w:beforeAutospacing="0" w:after="0" w:afterAutospacing="0" w:line="520" w:lineRule="exact"/>
              <w:ind w:left="0" w:right="0"/>
              <w:rPr>
                <w:rFonts w:hint="default" w:ascii="方正仿宋_GBK" w:hAnsi="方正仿宋_GBK" w:eastAsia="仿宋" w:cs="方正仿宋_GBK"/>
                <w:color w:val="auto"/>
                <w:sz w:val="22"/>
                <w:szCs w:val="16"/>
                <w:highlight w:val="none"/>
              </w:rPr>
            </w:pPr>
            <w:r>
              <w:rPr>
                <w:rFonts w:hint="default" w:ascii="方正仿宋_GBK" w:hAnsi="方正仿宋_GBK" w:eastAsia="仿宋" w:cs="方正仿宋_GBK"/>
                <w:color w:val="auto"/>
                <w:sz w:val="22"/>
                <w:szCs w:val="16"/>
                <w:highlight w:val="none"/>
              </w:rPr>
              <w:t>重庆市巴南区第二人民医院</w:t>
            </w:r>
            <w:r>
              <w:rPr>
                <w:rFonts w:hint="eastAsia" w:ascii="方正仿宋_GBK" w:hAnsi="方正仿宋_GBK" w:eastAsia="仿宋" w:cs="方正仿宋_GBK"/>
                <w:color w:val="auto"/>
                <w:sz w:val="22"/>
                <w:szCs w:val="16"/>
                <w:highlight w:val="none"/>
                <w:lang w:val="en-US" w:eastAsia="zh-CN"/>
              </w:rPr>
              <w:t>肠内营养制剂</w:t>
            </w:r>
            <w:r>
              <w:rPr>
                <w:rFonts w:hint="eastAsia" w:ascii="方正仿宋_GBK" w:hAnsi="方正仿宋_GBK" w:eastAsia="仿宋" w:cs="方正仿宋_GBK"/>
                <w:color w:val="auto"/>
                <w:sz w:val="22"/>
                <w:szCs w:val="16"/>
                <w:highlight w:val="none"/>
                <w:lang w:eastAsia="zh-CN"/>
              </w:rPr>
              <w:t>供应商遴选</w:t>
            </w:r>
            <w:r>
              <w:rPr>
                <w:rFonts w:hint="default" w:ascii="方正仿宋_GBK" w:hAnsi="方正仿宋_GBK" w:eastAsia="仿宋" w:cs="方正仿宋_GBK"/>
                <w:color w:val="auto"/>
                <w:sz w:val="22"/>
                <w:szCs w:val="16"/>
                <w:highlight w:val="none"/>
              </w:rPr>
              <w:t>项目</w:t>
            </w:r>
          </w:p>
        </w:tc>
        <w:tc>
          <w:tcPr>
            <w:tcW w:w="2519"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仿宋" w:cs="方正仿宋_GBK"/>
                <w:color w:val="auto"/>
                <w:sz w:val="22"/>
                <w:szCs w:val="16"/>
                <w:highlight w:val="none"/>
                <w:lang w:val="en-US" w:eastAsia="zh-CN"/>
              </w:rPr>
            </w:pPr>
            <w:r>
              <w:rPr>
                <w:rFonts w:hint="eastAsia" w:ascii="方正仿宋_GBK" w:hAnsi="方正仿宋_GBK" w:eastAsia="仿宋" w:cs="方正仿宋_GBK"/>
                <w:color w:val="auto"/>
                <w:sz w:val="22"/>
                <w:szCs w:val="16"/>
                <w:highlight w:val="none"/>
                <w:lang w:val="en-US" w:eastAsia="zh-CN"/>
              </w:rPr>
              <w:t>1</w:t>
            </w:r>
          </w:p>
        </w:tc>
        <w:tc>
          <w:tcPr>
            <w:tcW w:w="1672"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仿宋" w:cs="方正仿宋_GBK"/>
                <w:color w:val="auto"/>
                <w:sz w:val="22"/>
                <w:szCs w:val="16"/>
                <w:highlight w:val="none"/>
                <w:lang w:val="en-US" w:eastAsia="zh-CN"/>
              </w:rPr>
            </w:pPr>
          </w:p>
        </w:tc>
      </w:tr>
    </w:tbl>
    <w:p>
      <w:pPr>
        <w:spacing w:before="156" w:after="156" w:line="520" w:lineRule="exact"/>
        <w:ind w:firstLine="482" w:firstLineChars="200"/>
        <w:jc w:val="left"/>
        <w:outlineLvl w:val="1"/>
        <w:rPr>
          <w:rFonts w:eastAsia="仿宋" w:cs="宋体"/>
          <w:b/>
          <w:bCs/>
          <w:color w:val="auto"/>
          <w:szCs w:val="28"/>
          <w:highlight w:val="none"/>
        </w:rPr>
      </w:pPr>
      <w:bookmarkStart w:id="76" w:name="_Toc1319"/>
      <w:bookmarkStart w:id="77" w:name="_Toc23138"/>
      <w:bookmarkStart w:id="78" w:name="_Toc31943"/>
      <w:bookmarkStart w:id="79" w:name="_Toc19222"/>
      <w:bookmarkStart w:id="80" w:name="_Toc24696"/>
      <w:bookmarkStart w:id="81" w:name="_Toc12117"/>
      <w:bookmarkStart w:id="82" w:name="_Toc17952"/>
      <w:bookmarkStart w:id="83" w:name="_Toc29226"/>
      <w:bookmarkStart w:id="84" w:name="_Toc3588"/>
      <w:bookmarkStart w:id="85" w:name="_Toc112"/>
      <w:bookmarkStart w:id="86" w:name="_Toc18246"/>
      <w:bookmarkStart w:id="87" w:name="_Toc21142"/>
      <w:bookmarkStart w:id="88" w:name="_Toc5178"/>
      <w:r>
        <w:rPr>
          <w:rFonts w:hint="eastAsia" w:eastAsia="仿宋" w:cs="宋体"/>
          <w:b/>
          <w:bCs/>
          <w:color w:val="auto"/>
          <w:szCs w:val="28"/>
          <w:highlight w:val="none"/>
        </w:rPr>
        <w:t>二、资金来源</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lang w:eastAsia="zh-CN"/>
        </w:rPr>
        <w:t>自筹</w:t>
      </w:r>
      <w:r>
        <w:rPr>
          <w:rFonts w:hint="eastAsia" w:ascii="方正仿宋_GBK" w:hAnsi="仿宋" w:eastAsia="仿宋" w:cs="仿宋"/>
          <w:color w:val="auto"/>
          <w:kern w:val="0"/>
          <w:szCs w:val="28"/>
          <w:highlight w:val="none"/>
        </w:rPr>
        <w:t>。</w:t>
      </w:r>
    </w:p>
    <w:p>
      <w:pPr>
        <w:spacing w:before="156" w:after="156" w:line="520" w:lineRule="exact"/>
        <w:ind w:firstLine="482" w:firstLineChars="200"/>
        <w:jc w:val="left"/>
        <w:outlineLvl w:val="1"/>
        <w:rPr>
          <w:rFonts w:eastAsia="仿宋" w:cs="宋体"/>
          <w:b/>
          <w:bCs/>
          <w:color w:val="auto"/>
          <w:szCs w:val="28"/>
          <w:highlight w:val="none"/>
        </w:rPr>
      </w:pPr>
      <w:bookmarkStart w:id="89" w:name="_Toc48837297"/>
      <w:bookmarkStart w:id="90" w:name="_Toc25413"/>
      <w:bookmarkStart w:id="91" w:name="_Toc25550"/>
      <w:bookmarkStart w:id="92" w:name="_Toc21671"/>
      <w:bookmarkStart w:id="93" w:name="_Toc19995"/>
      <w:bookmarkStart w:id="94" w:name="_Toc14169"/>
      <w:bookmarkStart w:id="95" w:name="_Toc23551"/>
      <w:bookmarkStart w:id="96" w:name="_Toc13049"/>
      <w:bookmarkStart w:id="97" w:name="_Toc19744"/>
      <w:bookmarkStart w:id="98" w:name="_Toc16627"/>
      <w:bookmarkStart w:id="99" w:name="_Toc31670"/>
      <w:bookmarkStart w:id="100" w:name="_Toc26038"/>
      <w:bookmarkStart w:id="101" w:name="_Toc32431"/>
      <w:bookmarkStart w:id="102" w:name="_Toc16524"/>
      <w:bookmarkStart w:id="103" w:name="_Toc31349"/>
      <w:bookmarkStart w:id="104" w:name="_Toc22463"/>
      <w:bookmarkStart w:id="105" w:name="_Toc394390669"/>
      <w:bookmarkStart w:id="106" w:name="_Toc10636"/>
      <w:bookmarkStart w:id="107" w:name="_Toc258"/>
      <w:bookmarkStart w:id="108" w:name="_Toc6307"/>
      <w:bookmarkStart w:id="109" w:name="_Toc30163"/>
      <w:bookmarkStart w:id="110" w:name="_Toc30892"/>
      <w:bookmarkStart w:id="111" w:name="_Toc409189610"/>
      <w:bookmarkStart w:id="112" w:name="_Toc685"/>
      <w:bookmarkStart w:id="113" w:name="_Toc22134"/>
      <w:bookmarkStart w:id="114" w:name="_Toc3717"/>
      <w:bookmarkStart w:id="115" w:name="_Toc21414"/>
      <w:bookmarkStart w:id="116" w:name="_Toc10858"/>
      <w:bookmarkStart w:id="117" w:name="_Toc17739"/>
      <w:r>
        <w:rPr>
          <w:rFonts w:hint="eastAsia" w:eastAsia="仿宋" w:cs="宋体"/>
          <w:b/>
          <w:bCs/>
          <w:color w:val="auto"/>
          <w:szCs w:val="28"/>
          <w:highlight w:val="none"/>
        </w:rPr>
        <w:t>三、</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eastAsia="仿宋" w:cs="宋体"/>
          <w:b/>
          <w:bCs/>
          <w:color w:val="auto"/>
          <w:szCs w:val="28"/>
          <w:highlight w:val="none"/>
        </w:rPr>
        <w:t>供应商资格条件</w:t>
      </w:r>
      <w:bookmarkEnd w:id="114"/>
      <w:bookmarkEnd w:id="115"/>
      <w:bookmarkEnd w:id="116"/>
      <w:bookmarkEnd w:id="117"/>
    </w:p>
    <w:p>
      <w:pPr>
        <w:spacing w:line="520" w:lineRule="exact"/>
        <w:ind w:firstLine="480" w:firstLineChars="200"/>
        <w:jc w:val="left"/>
        <w:rPr>
          <w:rFonts w:hint="eastAsia" w:ascii="方正仿宋_GBK" w:hAnsi="仿宋" w:eastAsia="仿宋" w:cs="仿宋"/>
          <w:color w:val="auto"/>
          <w:kern w:val="0"/>
          <w:szCs w:val="28"/>
          <w:highlight w:val="none"/>
          <w:lang w:eastAsia="zh-CN"/>
        </w:rPr>
      </w:pPr>
      <w:bookmarkStart w:id="118" w:name="_Toc22648"/>
      <w:bookmarkStart w:id="119" w:name="_Toc26381"/>
      <w:bookmarkStart w:id="120" w:name="_Toc27155"/>
      <w:bookmarkStart w:id="121" w:name="_Toc3030"/>
      <w:bookmarkStart w:id="122" w:name="_Toc18923"/>
      <w:bookmarkStart w:id="123" w:name="_Toc7718"/>
      <w:bookmarkStart w:id="124" w:name="_Toc6106"/>
      <w:bookmarkStart w:id="125" w:name="_Toc4736"/>
      <w:bookmarkStart w:id="126" w:name="_Toc7978"/>
      <w:bookmarkStart w:id="127" w:name="_Toc3161"/>
      <w:bookmarkStart w:id="128" w:name="_Toc48837298"/>
      <w:bookmarkStart w:id="129" w:name="_Toc14905"/>
      <w:bookmarkStart w:id="130" w:name="_Toc3317"/>
      <w:bookmarkStart w:id="131" w:name="_Toc23925"/>
      <w:bookmarkStart w:id="132" w:name="_Toc15713"/>
      <w:bookmarkStart w:id="133" w:name="_Toc28595"/>
      <w:bookmarkStart w:id="134" w:name="_Toc12349"/>
      <w:bookmarkStart w:id="135" w:name="_Toc9628"/>
      <w:bookmarkStart w:id="136" w:name="_Toc28826"/>
      <w:bookmarkStart w:id="137" w:name="_Toc9364"/>
      <w:bookmarkStart w:id="138" w:name="_Toc409189611"/>
      <w:bookmarkStart w:id="139" w:name="_Toc28624"/>
      <w:bookmarkStart w:id="140" w:name="_Toc18238"/>
      <w:bookmarkStart w:id="141" w:name="_Toc7370"/>
      <w:bookmarkStart w:id="142" w:name="_Toc31947"/>
      <w:bookmarkStart w:id="143" w:name="_Toc19479"/>
      <w:bookmarkStart w:id="144" w:name="_Toc7315"/>
      <w:bookmarkStart w:id="145" w:name="_Toc10223"/>
      <w:r>
        <w:rPr>
          <w:rFonts w:hint="eastAsia" w:ascii="方正仿宋_GBK" w:hAnsi="仿宋" w:eastAsia="仿宋" w:cs="仿宋"/>
          <w:color w:val="auto"/>
          <w:kern w:val="0"/>
          <w:szCs w:val="28"/>
          <w:highlight w:val="none"/>
          <w:lang w:eastAsia="zh-CN"/>
        </w:rPr>
        <w:t>合格投标人应首先符合政府采购法第二十二条规定的基本条件，同时符合根据该项目特点设置的特定资格条件。</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（一）基本资格条件</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1.具有独立承担民事责任的能力；</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2.具有良好的商业信誉和健全的财务会计制度；</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3.具有履行合同所必需的设备和专业技术能力；</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4.有依法缴纳税收和社会保障资金的良好记录；</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5.参加政府采购活动前三年内，在经营活动中没有重大违法记录；</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6.法律、行政法规规定的其他条件。</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（二）特定资格条件</w:t>
      </w:r>
    </w:p>
    <w:p>
      <w:pPr>
        <w:spacing w:line="520" w:lineRule="exact"/>
        <w:ind w:right="-119" w:firstLine="480" w:firstLineChars="200"/>
        <w:jc w:val="left"/>
        <w:rPr>
          <w:rFonts w:hint="eastAsia" w:ascii="Times New Roman" w:hAnsi="Times New Roman" w:eastAsia="方正仿宋_GBK"/>
          <w:color w:val="000000"/>
          <w:kern w:val="0"/>
          <w:szCs w:val="28"/>
          <w:highlight w:val="none"/>
          <w:lang w:eastAsia="zh-CN"/>
        </w:rPr>
      </w:pPr>
      <w:r>
        <w:rPr>
          <w:rFonts w:hint="eastAsia"/>
          <w:color w:val="000000"/>
          <w:kern w:val="0"/>
          <w:szCs w:val="28"/>
          <w:highlight w:val="none"/>
          <w:lang w:eastAsia="zh-CN"/>
        </w:rPr>
        <w:t>具有</w:t>
      </w:r>
      <w:r>
        <w:rPr>
          <w:rFonts w:ascii="Times New Roman" w:hAnsi="Times New Roman" w:eastAsia="方正仿宋_GBK"/>
          <w:color w:val="000000"/>
          <w:kern w:val="0"/>
          <w:szCs w:val="28"/>
          <w:highlight w:val="none"/>
        </w:rPr>
        <w:t>有效的《食品经营许可证》或《食品经营备案</w:t>
      </w:r>
      <w:r>
        <w:rPr>
          <w:rFonts w:hint="eastAsia" w:ascii="Times New Roman" w:hAnsi="Times New Roman" w:eastAsia="方正仿宋_GBK"/>
          <w:color w:val="000000"/>
          <w:kern w:val="0"/>
          <w:szCs w:val="28"/>
          <w:highlight w:val="none"/>
        </w:rPr>
        <w:t>信息</w:t>
      </w:r>
      <w:r>
        <w:rPr>
          <w:rFonts w:ascii="Times New Roman" w:hAnsi="Times New Roman" w:eastAsia="方正仿宋_GBK"/>
          <w:color w:val="000000"/>
          <w:kern w:val="0"/>
          <w:szCs w:val="28"/>
          <w:highlight w:val="none"/>
        </w:rPr>
        <w:t>》</w:t>
      </w:r>
      <w:r>
        <w:rPr>
          <w:rFonts w:hint="eastAsia"/>
          <w:color w:val="000000"/>
          <w:kern w:val="0"/>
          <w:szCs w:val="28"/>
          <w:highlight w:val="none"/>
          <w:lang w:eastAsia="zh-CN"/>
        </w:rPr>
        <w:t>。</w:t>
      </w:r>
    </w:p>
    <w:p>
      <w:pPr>
        <w:spacing w:before="156" w:after="156" w:line="520" w:lineRule="exact"/>
        <w:ind w:firstLine="482" w:firstLineChars="200"/>
        <w:jc w:val="left"/>
        <w:outlineLvl w:val="1"/>
        <w:rPr>
          <w:rFonts w:eastAsia="仿宋" w:cs="宋体"/>
          <w:b/>
          <w:bCs/>
          <w:color w:val="auto"/>
          <w:szCs w:val="28"/>
          <w:highlight w:val="none"/>
        </w:rPr>
      </w:pPr>
      <w:r>
        <w:rPr>
          <w:rFonts w:hint="eastAsia" w:eastAsia="仿宋" w:cs="宋体"/>
          <w:b/>
          <w:bCs/>
          <w:color w:val="auto"/>
          <w:szCs w:val="28"/>
          <w:highlight w:val="none"/>
        </w:rPr>
        <w:t>四、</w:t>
      </w:r>
      <w:r>
        <w:rPr>
          <w:rFonts w:hint="eastAsia" w:eastAsia="仿宋" w:cs="宋体"/>
          <w:b/>
          <w:bCs/>
          <w:color w:val="auto"/>
          <w:szCs w:val="28"/>
          <w:highlight w:val="none"/>
          <w:lang w:eastAsia="zh-CN"/>
        </w:rPr>
        <w:t>遴选</w:t>
      </w:r>
      <w:r>
        <w:rPr>
          <w:rFonts w:hint="eastAsia" w:eastAsia="仿宋" w:cs="宋体"/>
          <w:b/>
          <w:bCs/>
          <w:color w:val="auto"/>
          <w:szCs w:val="28"/>
          <w:highlight w:val="none"/>
        </w:rPr>
        <w:t>有关说明</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spacing w:line="520" w:lineRule="exact"/>
        <w:ind w:firstLine="480" w:firstLineChars="200"/>
        <w:jc w:val="left"/>
        <w:rPr>
          <w:rFonts w:hint="eastAsia" w:ascii="方正仿宋_GBK" w:hAnsi="仿宋" w:eastAsia="仿宋" w:cs="仿宋"/>
          <w:color w:val="auto"/>
          <w:kern w:val="0"/>
          <w:szCs w:val="28"/>
          <w:highlight w:val="none"/>
          <w:lang w:eastAsia="zh-CN"/>
        </w:rPr>
      </w:pPr>
      <w:bookmarkStart w:id="146" w:name="_Toc495592636"/>
      <w:r>
        <w:rPr>
          <w:rFonts w:hint="eastAsia" w:ascii="方正仿宋_GBK" w:hAnsi="仿宋" w:eastAsia="仿宋" w:cs="仿宋"/>
          <w:color w:val="auto"/>
          <w:kern w:val="0"/>
          <w:szCs w:val="28"/>
          <w:highlight w:val="none"/>
          <w:lang w:eastAsia="zh-CN"/>
        </w:rPr>
        <w:t>（一）凡有意参加遴选的投标人，请自行在重庆市巴南区第二人民医院官网上下载本项目遴选文件以及补遗等遴选前公布的所有项目资料，无论投标人领取或下载与否，均视为已知晓所有遴选实质性要求内容。</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（二）遴选文件公告期限：</w:t>
      </w:r>
      <w:r>
        <w:rPr>
          <w:rFonts w:hint="eastAsia" w:ascii="方正仿宋_GBK" w:hAnsi="仿宋" w:eastAsia="仿宋" w:cs="仿宋"/>
          <w:color w:val="auto"/>
          <w:kern w:val="0"/>
          <w:szCs w:val="28"/>
          <w:highlight w:val="none"/>
          <w:lang w:val="en-US" w:eastAsia="zh-CN"/>
        </w:rPr>
        <w:t>2024</w:t>
      </w:r>
      <w:r>
        <w:rPr>
          <w:rFonts w:hint="eastAsia" w:ascii="方正仿宋_GBK" w:hAnsi="仿宋" w:eastAsia="仿宋" w:cs="仿宋"/>
          <w:color w:val="auto"/>
          <w:kern w:val="0"/>
          <w:szCs w:val="28"/>
          <w:highlight w:val="none"/>
          <w:lang w:eastAsia="zh-CN"/>
        </w:rPr>
        <w:t>年</w:t>
      </w:r>
      <w:r>
        <w:rPr>
          <w:rFonts w:hint="eastAsia" w:ascii="方正仿宋_GBK" w:hAnsi="仿宋" w:eastAsia="仿宋" w:cs="仿宋"/>
          <w:color w:val="auto"/>
          <w:kern w:val="0"/>
          <w:szCs w:val="28"/>
          <w:highlight w:val="none"/>
          <w:lang w:val="en-US" w:eastAsia="zh-CN"/>
        </w:rPr>
        <w:t>6</w:t>
      </w:r>
      <w:r>
        <w:rPr>
          <w:rFonts w:hint="eastAsia" w:ascii="方正仿宋_GBK" w:hAnsi="仿宋" w:eastAsia="仿宋" w:cs="仿宋"/>
          <w:color w:val="auto"/>
          <w:kern w:val="0"/>
          <w:szCs w:val="28"/>
          <w:highlight w:val="none"/>
          <w:lang w:eastAsia="zh-CN"/>
        </w:rPr>
        <w:t>月</w:t>
      </w:r>
      <w:r>
        <w:rPr>
          <w:rFonts w:hint="eastAsia" w:ascii="方正仿宋_GBK" w:hAnsi="仿宋" w:eastAsia="仿宋" w:cs="仿宋"/>
          <w:color w:val="auto"/>
          <w:kern w:val="0"/>
          <w:szCs w:val="28"/>
          <w:highlight w:val="none"/>
          <w:lang w:val="en-US" w:eastAsia="zh-CN"/>
        </w:rPr>
        <w:t>19</w:t>
      </w:r>
      <w:r>
        <w:rPr>
          <w:rFonts w:hint="eastAsia" w:ascii="方正仿宋_GBK" w:hAnsi="仿宋" w:eastAsia="仿宋" w:cs="仿宋"/>
          <w:color w:val="auto"/>
          <w:kern w:val="0"/>
          <w:szCs w:val="28"/>
          <w:highlight w:val="none"/>
          <w:lang w:eastAsia="zh-CN"/>
        </w:rPr>
        <w:t>日——</w:t>
      </w:r>
      <w:r>
        <w:rPr>
          <w:rFonts w:hint="eastAsia" w:ascii="方正仿宋_GBK" w:hAnsi="仿宋" w:eastAsia="仿宋" w:cs="仿宋"/>
          <w:color w:val="auto"/>
          <w:kern w:val="0"/>
          <w:szCs w:val="28"/>
          <w:highlight w:val="none"/>
          <w:lang w:val="en-US" w:eastAsia="zh-CN"/>
        </w:rPr>
        <w:t>2024</w:t>
      </w:r>
      <w:r>
        <w:rPr>
          <w:rFonts w:hint="eastAsia" w:ascii="方正仿宋_GBK" w:hAnsi="仿宋" w:eastAsia="仿宋" w:cs="仿宋"/>
          <w:color w:val="auto"/>
          <w:kern w:val="0"/>
          <w:szCs w:val="28"/>
          <w:highlight w:val="none"/>
          <w:lang w:eastAsia="zh-CN"/>
        </w:rPr>
        <w:t>年</w:t>
      </w:r>
      <w:r>
        <w:rPr>
          <w:rFonts w:hint="eastAsia" w:ascii="方正仿宋_GBK" w:hAnsi="仿宋" w:eastAsia="仿宋" w:cs="仿宋"/>
          <w:color w:val="auto"/>
          <w:kern w:val="0"/>
          <w:szCs w:val="28"/>
          <w:highlight w:val="none"/>
          <w:lang w:val="en-US" w:eastAsia="zh-CN"/>
        </w:rPr>
        <w:t>6</w:t>
      </w:r>
      <w:r>
        <w:rPr>
          <w:rFonts w:hint="eastAsia" w:ascii="方正仿宋_GBK" w:hAnsi="仿宋" w:eastAsia="仿宋" w:cs="仿宋"/>
          <w:color w:val="auto"/>
          <w:kern w:val="0"/>
          <w:szCs w:val="28"/>
          <w:highlight w:val="none"/>
          <w:lang w:eastAsia="zh-CN"/>
        </w:rPr>
        <w:t>月</w:t>
      </w:r>
      <w:r>
        <w:rPr>
          <w:rFonts w:hint="eastAsia" w:ascii="方正仿宋_GBK" w:hAnsi="仿宋" w:eastAsia="仿宋" w:cs="仿宋"/>
          <w:color w:val="auto"/>
          <w:kern w:val="0"/>
          <w:szCs w:val="28"/>
          <w:highlight w:val="none"/>
          <w:lang w:val="en-US" w:eastAsia="zh-CN"/>
        </w:rPr>
        <w:t>26</w:t>
      </w:r>
      <w:r>
        <w:rPr>
          <w:rFonts w:hint="eastAsia" w:ascii="方正仿宋_GBK" w:hAnsi="仿宋" w:eastAsia="仿宋" w:cs="仿宋"/>
          <w:color w:val="auto"/>
          <w:kern w:val="0"/>
          <w:szCs w:val="28"/>
          <w:highlight w:val="none"/>
          <w:lang w:eastAsia="zh-CN"/>
        </w:rPr>
        <w:t>日。</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（三）投标人须满足以下两种要件，其响应文件才被接受：</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1、按时递交了响应文件；</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2、按时报名签到；</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（四）递交响应文件地点：重庆市巴南区第二人民医院采购办（重庆市巴南区花溪街道花溪新村</w:t>
      </w:r>
      <w:r>
        <w:rPr>
          <w:rFonts w:hint="eastAsia" w:ascii="方正仿宋_GBK" w:hAnsi="仿宋" w:eastAsia="仿宋" w:cs="仿宋"/>
          <w:color w:val="auto"/>
          <w:kern w:val="0"/>
          <w:szCs w:val="28"/>
          <w:highlight w:val="none"/>
          <w:lang w:val="en-US" w:eastAsia="zh-CN"/>
        </w:rPr>
        <w:t>18</w:t>
      </w:r>
      <w:r>
        <w:rPr>
          <w:rFonts w:hint="eastAsia" w:ascii="方正仿宋_GBK" w:hAnsi="仿宋" w:eastAsia="仿宋" w:cs="仿宋"/>
          <w:color w:val="auto"/>
          <w:kern w:val="0"/>
          <w:szCs w:val="28"/>
          <w:highlight w:val="none"/>
          <w:lang w:eastAsia="zh-CN"/>
        </w:rPr>
        <w:t>号）。</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（五）响应文件递交起止时间：</w:t>
      </w:r>
      <w:r>
        <w:rPr>
          <w:rFonts w:hint="eastAsia" w:ascii="方正仿宋_GBK" w:hAnsi="仿宋" w:eastAsia="仿宋" w:cs="仿宋"/>
          <w:color w:val="auto"/>
          <w:kern w:val="0"/>
          <w:szCs w:val="28"/>
          <w:highlight w:val="none"/>
          <w:lang w:val="en-US" w:eastAsia="zh-CN"/>
        </w:rPr>
        <w:t>2024</w:t>
      </w:r>
      <w:r>
        <w:rPr>
          <w:rFonts w:hint="eastAsia" w:ascii="方正仿宋_GBK" w:hAnsi="仿宋" w:eastAsia="仿宋" w:cs="仿宋"/>
          <w:color w:val="auto"/>
          <w:kern w:val="0"/>
          <w:szCs w:val="28"/>
          <w:highlight w:val="none"/>
          <w:lang w:eastAsia="zh-CN"/>
        </w:rPr>
        <w:t>年</w:t>
      </w:r>
      <w:r>
        <w:rPr>
          <w:rFonts w:hint="eastAsia" w:ascii="方正仿宋_GBK" w:hAnsi="仿宋" w:eastAsia="仿宋" w:cs="仿宋"/>
          <w:color w:val="auto"/>
          <w:kern w:val="0"/>
          <w:szCs w:val="28"/>
          <w:highlight w:val="none"/>
          <w:lang w:val="en-US" w:eastAsia="zh-CN"/>
        </w:rPr>
        <w:t>6</w:t>
      </w:r>
      <w:r>
        <w:rPr>
          <w:rFonts w:hint="eastAsia" w:ascii="方正仿宋_GBK" w:hAnsi="仿宋" w:eastAsia="仿宋" w:cs="仿宋"/>
          <w:color w:val="auto"/>
          <w:kern w:val="0"/>
          <w:szCs w:val="28"/>
          <w:highlight w:val="none"/>
          <w:lang w:eastAsia="zh-CN"/>
        </w:rPr>
        <w:t>月</w:t>
      </w:r>
      <w:r>
        <w:rPr>
          <w:rFonts w:hint="eastAsia" w:ascii="方正仿宋_GBK" w:hAnsi="仿宋" w:eastAsia="仿宋" w:cs="仿宋"/>
          <w:color w:val="auto"/>
          <w:kern w:val="0"/>
          <w:szCs w:val="28"/>
          <w:highlight w:val="none"/>
          <w:lang w:val="en-US" w:eastAsia="zh-CN"/>
        </w:rPr>
        <w:t>26</w:t>
      </w:r>
      <w:r>
        <w:rPr>
          <w:rFonts w:hint="eastAsia" w:ascii="方正仿宋_GBK" w:hAnsi="仿宋" w:eastAsia="仿宋" w:cs="仿宋"/>
          <w:color w:val="auto"/>
          <w:kern w:val="0"/>
          <w:szCs w:val="28"/>
          <w:highlight w:val="none"/>
          <w:lang w:eastAsia="zh-CN"/>
        </w:rPr>
        <w:t>日</w:t>
      </w:r>
      <w:r>
        <w:rPr>
          <w:rFonts w:hint="eastAsia" w:ascii="方正仿宋_GBK" w:hAnsi="仿宋" w:eastAsia="仿宋" w:cs="仿宋"/>
          <w:color w:val="auto"/>
          <w:kern w:val="0"/>
          <w:szCs w:val="28"/>
          <w:highlight w:val="none"/>
          <w:lang w:val="en-US" w:eastAsia="zh-CN"/>
        </w:rPr>
        <w:t>14</w:t>
      </w:r>
      <w:r>
        <w:rPr>
          <w:rFonts w:hint="eastAsia" w:ascii="方正仿宋_GBK" w:hAnsi="仿宋" w:eastAsia="仿宋" w:cs="仿宋"/>
          <w:color w:val="auto"/>
          <w:kern w:val="0"/>
          <w:szCs w:val="28"/>
          <w:highlight w:val="none"/>
          <w:lang w:eastAsia="zh-CN"/>
        </w:rPr>
        <w:t>:</w:t>
      </w:r>
      <w:r>
        <w:rPr>
          <w:rFonts w:hint="eastAsia" w:ascii="方正仿宋_GBK" w:hAnsi="仿宋" w:eastAsia="仿宋" w:cs="仿宋"/>
          <w:color w:val="auto"/>
          <w:kern w:val="0"/>
          <w:szCs w:val="28"/>
          <w:highlight w:val="none"/>
          <w:lang w:val="en-US" w:eastAsia="zh-CN"/>
        </w:rPr>
        <w:t>3</w:t>
      </w:r>
      <w:r>
        <w:rPr>
          <w:rFonts w:hint="eastAsia" w:ascii="方正仿宋_GBK" w:hAnsi="仿宋" w:eastAsia="仿宋" w:cs="仿宋"/>
          <w:color w:val="auto"/>
          <w:kern w:val="0"/>
          <w:szCs w:val="28"/>
          <w:highlight w:val="none"/>
          <w:lang w:eastAsia="zh-CN"/>
        </w:rPr>
        <w:t>0 ——</w:t>
      </w:r>
      <w:r>
        <w:rPr>
          <w:rFonts w:hint="eastAsia" w:ascii="方正仿宋_GBK" w:hAnsi="仿宋" w:eastAsia="仿宋" w:cs="仿宋"/>
          <w:color w:val="auto"/>
          <w:kern w:val="0"/>
          <w:szCs w:val="28"/>
          <w:highlight w:val="none"/>
          <w:lang w:val="en-US" w:eastAsia="zh-CN"/>
        </w:rPr>
        <w:t>15</w:t>
      </w:r>
      <w:r>
        <w:rPr>
          <w:rFonts w:hint="eastAsia" w:ascii="方正仿宋_GBK" w:hAnsi="仿宋" w:eastAsia="仿宋" w:cs="仿宋"/>
          <w:color w:val="auto"/>
          <w:kern w:val="0"/>
          <w:szCs w:val="28"/>
          <w:highlight w:val="none"/>
          <w:lang w:eastAsia="zh-CN"/>
        </w:rPr>
        <w:t>:</w:t>
      </w:r>
      <w:r>
        <w:rPr>
          <w:rFonts w:hint="eastAsia" w:ascii="方正仿宋_GBK" w:hAnsi="仿宋" w:eastAsia="仿宋" w:cs="仿宋"/>
          <w:color w:val="auto"/>
          <w:kern w:val="0"/>
          <w:szCs w:val="28"/>
          <w:highlight w:val="none"/>
          <w:lang w:val="en-US" w:eastAsia="zh-CN"/>
        </w:rPr>
        <w:t>0</w:t>
      </w:r>
      <w:r>
        <w:rPr>
          <w:rFonts w:hint="eastAsia" w:ascii="方正仿宋_GBK" w:hAnsi="仿宋" w:eastAsia="仿宋" w:cs="仿宋"/>
          <w:color w:val="auto"/>
          <w:kern w:val="0"/>
          <w:szCs w:val="28"/>
          <w:highlight w:val="none"/>
          <w:lang w:eastAsia="zh-CN"/>
        </w:rPr>
        <w:t>0时；响应文件开启时间：</w:t>
      </w:r>
      <w:r>
        <w:rPr>
          <w:rFonts w:hint="eastAsia" w:ascii="方正仿宋_GBK" w:hAnsi="仿宋" w:eastAsia="仿宋" w:cs="仿宋"/>
          <w:color w:val="auto"/>
          <w:kern w:val="0"/>
          <w:szCs w:val="28"/>
          <w:highlight w:val="none"/>
          <w:lang w:val="en-US" w:eastAsia="zh-CN"/>
        </w:rPr>
        <w:t>2024</w:t>
      </w:r>
      <w:r>
        <w:rPr>
          <w:rFonts w:hint="eastAsia" w:ascii="方正仿宋_GBK" w:hAnsi="仿宋" w:eastAsia="仿宋" w:cs="仿宋"/>
          <w:color w:val="auto"/>
          <w:kern w:val="0"/>
          <w:szCs w:val="28"/>
          <w:highlight w:val="none"/>
          <w:lang w:eastAsia="zh-CN"/>
        </w:rPr>
        <w:t>年</w:t>
      </w:r>
      <w:r>
        <w:rPr>
          <w:rFonts w:hint="eastAsia" w:ascii="方正仿宋_GBK" w:hAnsi="仿宋" w:eastAsia="仿宋" w:cs="仿宋"/>
          <w:color w:val="auto"/>
          <w:kern w:val="0"/>
          <w:szCs w:val="28"/>
          <w:highlight w:val="none"/>
          <w:lang w:val="en-US" w:eastAsia="zh-CN"/>
        </w:rPr>
        <w:t>6</w:t>
      </w:r>
      <w:r>
        <w:rPr>
          <w:rFonts w:hint="eastAsia" w:ascii="方正仿宋_GBK" w:hAnsi="仿宋" w:eastAsia="仿宋" w:cs="仿宋"/>
          <w:color w:val="auto"/>
          <w:kern w:val="0"/>
          <w:szCs w:val="28"/>
          <w:highlight w:val="none"/>
          <w:lang w:eastAsia="zh-CN"/>
        </w:rPr>
        <w:t>月</w:t>
      </w:r>
      <w:r>
        <w:rPr>
          <w:rFonts w:hint="eastAsia" w:ascii="方正仿宋_GBK" w:hAnsi="仿宋" w:eastAsia="仿宋" w:cs="仿宋"/>
          <w:color w:val="auto"/>
          <w:kern w:val="0"/>
          <w:szCs w:val="28"/>
          <w:highlight w:val="none"/>
          <w:lang w:val="en-US" w:eastAsia="zh-CN"/>
        </w:rPr>
        <w:t>26</w:t>
      </w:r>
      <w:r>
        <w:rPr>
          <w:rFonts w:hint="eastAsia" w:ascii="方正仿宋_GBK" w:hAnsi="仿宋" w:eastAsia="仿宋" w:cs="仿宋"/>
          <w:color w:val="auto"/>
          <w:kern w:val="0"/>
          <w:szCs w:val="28"/>
          <w:highlight w:val="none"/>
          <w:lang w:eastAsia="zh-CN"/>
        </w:rPr>
        <w:t>日</w:t>
      </w:r>
      <w:r>
        <w:rPr>
          <w:rFonts w:hint="eastAsia" w:ascii="方正仿宋_GBK" w:hAnsi="仿宋" w:eastAsia="仿宋" w:cs="仿宋"/>
          <w:color w:val="auto"/>
          <w:kern w:val="0"/>
          <w:szCs w:val="28"/>
          <w:highlight w:val="none"/>
          <w:lang w:val="en-US" w:eastAsia="zh-CN"/>
        </w:rPr>
        <w:t>15</w:t>
      </w:r>
      <w:r>
        <w:rPr>
          <w:rFonts w:hint="eastAsia" w:ascii="方正仿宋_GBK" w:hAnsi="仿宋" w:eastAsia="仿宋" w:cs="仿宋"/>
          <w:color w:val="auto"/>
          <w:kern w:val="0"/>
          <w:szCs w:val="28"/>
          <w:highlight w:val="none"/>
          <w:lang w:eastAsia="zh-CN"/>
        </w:rPr>
        <w:t>:</w:t>
      </w:r>
      <w:r>
        <w:rPr>
          <w:rFonts w:hint="eastAsia" w:ascii="方正仿宋_GBK" w:hAnsi="仿宋" w:eastAsia="仿宋" w:cs="仿宋"/>
          <w:color w:val="auto"/>
          <w:kern w:val="0"/>
          <w:szCs w:val="28"/>
          <w:highlight w:val="none"/>
          <w:lang w:val="en-US" w:eastAsia="zh-CN"/>
        </w:rPr>
        <w:t>0</w:t>
      </w:r>
      <w:r>
        <w:rPr>
          <w:rFonts w:hint="eastAsia" w:ascii="方正仿宋_GBK" w:hAnsi="仿宋" w:eastAsia="仿宋" w:cs="仿宋"/>
          <w:color w:val="auto"/>
          <w:kern w:val="0"/>
          <w:szCs w:val="28"/>
          <w:highlight w:val="none"/>
          <w:lang w:eastAsia="zh-CN"/>
        </w:rPr>
        <w:t>0。</w:t>
      </w:r>
    </w:p>
    <w:bookmarkEnd w:id="146"/>
    <w:p>
      <w:pPr>
        <w:spacing w:before="156" w:after="156" w:line="520" w:lineRule="exact"/>
        <w:ind w:firstLine="482" w:firstLineChars="200"/>
        <w:jc w:val="left"/>
        <w:outlineLvl w:val="1"/>
        <w:rPr>
          <w:rFonts w:eastAsia="仿宋" w:cs="宋体"/>
          <w:b/>
          <w:bCs/>
          <w:color w:val="auto"/>
          <w:szCs w:val="28"/>
          <w:highlight w:val="none"/>
        </w:rPr>
      </w:pPr>
      <w:bookmarkStart w:id="147" w:name="_Toc14053"/>
      <w:bookmarkStart w:id="148" w:name="_Toc13480"/>
      <w:bookmarkStart w:id="149" w:name="_Toc4707"/>
      <w:bookmarkStart w:id="150" w:name="_Toc22561"/>
      <w:bookmarkStart w:id="151" w:name="_Toc32044"/>
      <w:bookmarkStart w:id="152" w:name="_Toc7162"/>
      <w:bookmarkStart w:id="153" w:name="_Toc27985"/>
      <w:bookmarkStart w:id="154" w:name="_Toc5685"/>
      <w:bookmarkStart w:id="155" w:name="_Toc14448"/>
      <w:bookmarkStart w:id="156" w:name="_Toc28126"/>
      <w:bookmarkStart w:id="157" w:name="_Toc13392"/>
      <w:bookmarkStart w:id="158" w:name="_Toc12036"/>
      <w:bookmarkStart w:id="159" w:name="_Toc23216"/>
      <w:bookmarkStart w:id="160" w:name="_Toc6190"/>
      <w:bookmarkStart w:id="161" w:name="_Toc21143"/>
      <w:bookmarkStart w:id="162" w:name="_Toc12289"/>
      <w:bookmarkStart w:id="163" w:name="_Toc13814"/>
      <w:bookmarkStart w:id="164" w:name="_Toc13173"/>
      <w:bookmarkStart w:id="165" w:name="_Toc1558"/>
      <w:bookmarkStart w:id="166" w:name="_Toc9050"/>
      <w:bookmarkStart w:id="167" w:name="_Toc3572"/>
      <w:bookmarkStart w:id="168" w:name="_Toc15052"/>
      <w:bookmarkStart w:id="169" w:name="_Toc7973"/>
      <w:bookmarkStart w:id="170" w:name="_Toc14132"/>
      <w:bookmarkStart w:id="171" w:name="_Toc48837300"/>
      <w:bookmarkStart w:id="172" w:name="_Toc7003"/>
      <w:bookmarkStart w:id="173" w:name="_Toc7014"/>
      <w:bookmarkStart w:id="174" w:name="_Toc409189614"/>
      <w:r>
        <w:rPr>
          <w:rFonts w:hint="eastAsia" w:eastAsia="仿宋" w:cs="宋体"/>
          <w:b/>
          <w:bCs/>
          <w:color w:val="auto"/>
          <w:szCs w:val="28"/>
          <w:highlight w:val="none"/>
          <w:lang w:eastAsia="zh-CN"/>
        </w:rPr>
        <w:t>五</w:t>
      </w:r>
      <w:r>
        <w:rPr>
          <w:rFonts w:hint="eastAsia" w:eastAsia="仿宋" w:cs="宋体"/>
          <w:b/>
          <w:bCs/>
          <w:color w:val="auto"/>
          <w:szCs w:val="28"/>
          <w:highlight w:val="none"/>
        </w:rPr>
        <w:t>、</w:t>
      </w:r>
      <w:r>
        <w:rPr>
          <w:rFonts w:hint="eastAsia" w:eastAsia="仿宋" w:cs="宋体"/>
          <w:b/>
          <w:bCs/>
          <w:color w:val="auto"/>
          <w:szCs w:val="28"/>
          <w:highlight w:val="none"/>
          <w:lang w:eastAsia="zh-CN"/>
        </w:rPr>
        <w:t>遴选</w:t>
      </w:r>
      <w:r>
        <w:rPr>
          <w:rFonts w:hint="eastAsia" w:eastAsia="仿宋" w:cs="宋体"/>
          <w:b/>
          <w:bCs/>
          <w:color w:val="auto"/>
          <w:szCs w:val="28"/>
          <w:highlight w:val="none"/>
        </w:rPr>
        <w:t>有关规定</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（一）单位负责人为同一人或者存在直接控股、管理关系的不同供应商，不得参加同一合同项（包）下的政府采购活动。</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（二）为采购项目提供整体设计、规范编制或者项目管理、监理、检测等服务的供应商，不得再参加该采购项目的其他采购活动。</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（三）超过规定时间送达或未按要求密封和标记的投标文件不予受理，投标文件一经收取不予退还。</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（四）投标人应</w:t>
      </w:r>
      <w:r>
        <w:rPr>
          <w:rFonts w:hint="eastAsia" w:ascii="方正仿宋_GBK" w:hAnsi="仿宋" w:eastAsia="仿宋" w:cs="仿宋"/>
          <w:color w:val="auto"/>
          <w:kern w:val="0"/>
          <w:szCs w:val="28"/>
          <w:highlight w:val="none"/>
          <w:lang w:val="en-US" w:eastAsia="zh-CN"/>
        </w:rPr>
        <w:t>充分了解该项目实施环境，</w:t>
      </w:r>
      <w:r>
        <w:rPr>
          <w:rFonts w:hint="eastAsia" w:ascii="方正仿宋_GBK" w:hAnsi="仿宋" w:eastAsia="仿宋" w:cs="仿宋"/>
          <w:color w:val="auto"/>
          <w:kern w:val="0"/>
          <w:szCs w:val="28"/>
          <w:highlight w:val="none"/>
          <w:lang w:eastAsia="zh-CN"/>
        </w:rPr>
        <w:t>对本项目的风险和义务</w:t>
      </w:r>
      <w:r>
        <w:rPr>
          <w:rFonts w:hint="eastAsia" w:ascii="方正仿宋_GBK" w:hAnsi="仿宋" w:eastAsia="仿宋" w:cs="仿宋"/>
          <w:color w:val="auto"/>
          <w:kern w:val="0"/>
          <w:szCs w:val="28"/>
          <w:highlight w:val="none"/>
          <w:lang w:val="en-US" w:eastAsia="zh-CN"/>
        </w:rPr>
        <w:t>应充分</w:t>
      </w:r>
      <w:r>
        <w:rPr>
          <w:rFonts w:hint="eastAsia" w:ascii="方正仿宋_GBK" w:hAnsi="仿宋" w:eastAsia="仿宋" w:cs="仿宋"/>
          <w:color w:val="auto"/>
          <w:kern w:val="0"/>
          <w:szCs w:val="28"/>
          <w:highlight w:val="none"/>
          <w:lang w:eastAsia="zh-CN"/>
        </w:rPr>
        <w:t>了解，并在其投标文件中</w:t>
      </w:r>
      <w:r>
        <w:rPr>
          <w:rFonts w:hint="eastAsia" w:ascii="方正仿宋_GBK" w:hAnsi="仿宋" w:eastAsia="仿宋" w:cs="仿宋"/>
          <w:color w:val="auto"/>
          <w:kern w:val="0"/>
          <w:szCs w:val="28"/>
          <w:highlight w:val="none"/>
          <w:lang w:val="en-US" w:eastAsia="zh-CN"/>
        </w:rPr>
        <w:t>体现</w:t>
      </w:r>
      <w:r>
        <w:rPr>
          <w:rFonts w:hint="eastAsia" w:ascii="方正仿宋_GBK" w:hAnsi="仿宋" w:eastAsia="仿宋" w:cs="仿宋"/>
          <w:color w:val="auto"/>
          <w:kern w:val="0"/>
          <w:szCs w:val="28"/>
          <w:highlight w:val="none"/>
          <w:lang w:eastAsia="zh-CN"/>
        </w:rPr>
        <w:t>。</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（五）投标人自行承担参加本项目的全部费用，责任和风险。</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（六）本项目不接受联合体参与遴选，否则按无效处理，遴选文件中联合体组成相关条款不生效。</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（七）本项目不接受合同分包，否则按无效处理。</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八）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spacing w:before="156" w:after="156" w:line="520" w:lineRule="exact"/>
        <w:ind w:firstLine="482" w:firstLineChars="200"/>
        <w:jc w:val="left"/>
        <w:outlineLvl w:val="1"/>
        <w:rPr>
          <w:rFonts w:eastAsia="仿宋" w:cs="宋体"/>
          <w:b/>
          <w:bCs/>
          <w:color w:val="auto"/>
          <w:szCs w:val="28"/>
          <w:highlight w:val="none"/>
        </w:rPr>
      </w:pPr>
      <w:bookmarkStart w:id="175" w:name="_Toc27349"/>
      <w:bookmarkStart w:id="176" w:name="_Toc1985"/>
      <w:bookmarkStart w:id="177" w:name="_Toc18960"/>
      <w:bookmarkStart w:id="178" w:name="_Toc22193"/>
      <w:bookmarkStart w:id="179" w:name="_Toc6822"/>
      <w:bookmarkStart w:id="180" w:name="_Toc12314"/>
      <w:bookmarkStart w:id="181" w:name="_Toc2063"/>
      <w:bookmarkStart w:id="182" w:name="_Toc30321"/>
      <w:bookmarkStart w:id="183" w:name="_Toc29353"/>
      <w:bookmarkStart w:id="184" w:name="_Toc30472"/>
      <w:bookmarkStart w:id="185" w:name="_Toc16069"/>
      <w:bookmarkStart w:id="186" w:name="_Toc768"/>
      <w:bookmarkStart w:id="187" w:name="_Toc5673"/>
      <w:bookmarkStart w:id="188" w:name="_Toc896"/>
      <w:bookmarkStart w:id="189" w:name="_Toc12842"/>
      <w:bookmarkStart w:id="190" w:name="_Toc333"/>
      <w:bookmarkStart w:id="191" w:name="_Toc28422"/>
      <w:bookmarkStart w:id="192" w:name="_Toc27061"/>
      <w:bookmarkStart w:id="193" w:name="_Toc22782"/>
      <w:bookmarkStart w:id="194" w:name="_Toc15623"/>
      <w:bookmarkStart w:id="195" w:name="_Toc16081"/>
      <w:bookmarkStart w:id="196" w:name="_Toc30465"/>
      <w:bookmarkStart w:id="197" w:name="_Toc3329"/>
      <w:bookmarkStart w:id="198" w:name="_Toc12603"/>
      <w:bookmarkStart w:id="199" w:name="_Toc48837301"/>
      <w:bookmarkStart w:id="200" w:name="_Toc7931"/>
      <w:bookmarkStart w:id="201" w:name="_Toc31253"/>
      <w:r>
        <w:rPr>
          <w:rFonts w:hint="eastAsia" w:eastAsia="仿宋" w:cs="宋体"/>
          <w:b/>
          <w:bCs/>
          <w:color w:val="auto"/>
          <w:szCs w:val="28"/>
          <w:highlight w:val="none"/>
        </w:rPr>
        <w:t>七、联系方式</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spacing w:line="520" w:lineRule="exact"/>
        <w:ind w:firstLine="480" w:firstLineChars="200"/>
        <w:jc w:val="left"/>
        <w:rPr>
          <w:rFonts w:hint="eastAsia" w:ascii="方正仿宋_GBK" w:hAnsi="仿宋" w:eastAsia="仿宋" w:cs="仿宋"/>
          <w:color w:val="auto"/>
          <w:kern w:val="0"/>
          <w:szCs w:val="28"/>
          <w:highlight w:val="none"/>
          <w:lang w:eastAsia="zh-CN"/>
        </w:rPr>
      </w:pPr>
      <w:bookmarkStart w:id="202" w:name="_Toc102227313"/>
      <w:r>
        <w:rPr>
          <w:rFonts w:hint="eastAsia" w:ascii="方正仿宋_GBK" w:hAnsi="仿宋" w:eastAsia="仿宋" w:cs="仿宋"/>
          <w:color w:val="auto"/>
          <w:kern w:val="0"/>
          <w:szCs w:val="28"/>
          <w:highlight w:val="none"/>
          <w:lang w:eastAsia="zh-CN"/>
        </w:rPr>
        <w:t>重庆市巴南区第二人民医院</w:t>
      </w:r>
    </w:p>
    <w:p>
      <w:pPr>
        <w:spacing w:line="520" w:lineRule="exact"/>
        <w:ind w:firstLine="480" w:firstLineChars="200"/>
        <w:jc w:val="left"/>
        <w:rPr>
          <w:rFonts w:hint="default" w:ascii="方正仿宋_GBK" w:hAnsi="仿宋" w:eastAsia="仿宋" w:cs="仿宋"/>
          <w:color w:val="auto"/>
          <w:kern w:val="0"/>
          <w:szCs w:val="28"/>
          <w:highlight w:val="none"/>
          <w:lang w:val="en-US" w:eastAsia="zh-CN"/>
        </w:rPr>
      </w:pPr>
      <w:r>
        <w:rPr>
          <w:rFonts w:hint="eastAsia" w:ascii="方正仿宋_GBK" w:hAnsi="仿宋" w:eastAsia="仿宋" w:cs="仿宋"/>
          <w:color w:val="auto"/>
          <w:kern w:val="0"/>
          <w:szCs w:val="28"/>
          <w:highlight w:val="none"/>
          <w:lang w:eastAsia="zh-CN"/>
        </w:rPr>
        <w:t>联系人：</w:t>
      </w:r>
      <w:r>
        <w:rPr>
          <w:rFonts w:hint="eastAsia" w:ascii="方正仿宋_GBK" w:hAnsi="仿宋" w:eastAsia="仿宋" w:cs="仿宋"/>
          <w:color w:val="auto"/>
          <w:kern w:val="0"/>
          <w:szCs w:val="28"/>
          <w:highlight w:val="none"/>
          <w:lang w:val="en-US" w:eastAsia="zh-CN"/>
        </w:rPr>
        <w:t>张</w:t>
      </w:r>
      <w:r>
        <w:rPr>
          <w:rFonts w:hint="eastAsia" w:ascii="方正仿宋_GBK" w:hAnsi="仿宋" w:eastAsia="仿宋" w:cs="仿宋"/>
          <w:color w:val="auto"/>
          <w:kern w:val="0"/>
          <w:szCs w:val="28"/>
          <w:highlight w:val="none"/>
          <w:lang w:eastAsia="zh-CN"/>
        </w:rPr>
        <w:t>老师（</w:t>
      </w:r>
      <w:r>
        <w:rPr>
          <w:rFonts w:hint="eastAsia" w:ascii="方正仿宋_GBK" w:hAnsi="仿宋" w:eastAsia="仿宋" w:cs="仿宋"/>
          <w:color w:val="auto"/>
          <w:kern w:val="0"/>
          <w:szCs w:val="28"/>
          <w:highlight w:val="none"/>
          <w:lang w:val="en-US" w:eastAsia="zh-CN"/>
        </w:rPr>
        <w:t>医务科）</w:t>
      </w:r>
      <w:r>
        <w:rPr>
          <w:rFonts w:hint="eastAsia" w:ascii="方正仿宋_GBK" w:hAnsi="仿宋" w:eastAsia="仿宋" w:cs="仿宋"/>
          <w:color w:val="auto"/>
          <w:kern w:val="0"/>
          <w:szCs w:val="28"/>
          <w:highlight w:val="none"/>
          <w:lang w:eastAsia="zh-CN"/>
        </w:rPr>
        <w:t xml:space="preserve">       </w:t>
      </w:r>
      <w:r>
        <w:rPr>
          <w:rFonts w:hint="eastAsia" w:ascii="方正仿宋_GBK" w:hAnsi="仿宋" w:eastAsia="仿宋" w:cs="仿宋"/>
          <w:color w:val="auto"/>
          <w:kern w:val="0"/>
          <w:szCs w:val="28"/>
          <w:highlight w:val="none"/>
          <w:lang w:val="en-US" w:eastAsia="zh-CN"/>
        </w:rPr>
        <w:t xml:space="preserve">               </w:t>
      </w:r>
      <w:r>
        <w:rPr>
          <w:rFonts w:hint="eastAsia" w:ascii="方正仿宋_GBK" w:hAnsi="仿宋" w:eastAsia="仿宋" w:cs="仿宋"/>
          <w:color w:val="auto"/>
          <w:kern w:val="0"/>
          <w:szCs w:val="28"/>
          <w:highlight w:val="none"/>
          <w:lang w:eastAsia="zh-CN"/>
        </w:rPr>
        <w:t>联系电话：</w:t>
      </w:r>
      <w:r>
        <w:rPr>
          <w:rFonts w:hint="eastAsia" w:ascii="方正仿宋_GBK" w:hAnsi="仿宋" w:eastAsia="仿宋" w:cs="仿宋"/>
          <w:color w:val="auto"/>
          <w:kern w:val="0"/>
          <w:szCs w:val="28"/>
          <w:highlight w:val="none"/>
          <w:lang w:val="en-US" w:eastAsia="zh-CN"/>
        </w:rPr>
        <w:t>023-62867314</w:t>
      </w:r>
    </w:p>
    <w:p>
      <w:pPr>
        <w:spacing w:line="520" w:lineRule="exact"/>
        <w:ind w:firstLine="480" w:firstLineChars="200"/>
        <w:jc w:val="left"/>
        <w:rPr>
          <w:rFonts w:hint="eastAsia" w:ascii="方正仿宋_GBK" w:hAnsi="仿宋" w:eastAsia="仿宋" w:cs="仿宋"/>
          <w:color w:val="auto"/>
          <w:kern w:val="0"/>
          <w:szCs w:val="28"/>
          <w:highlight w:val="none"/>
          <w:lang w:val="en-US" w:eastAsia="zh-CN"/>
        </w:rPr>
      </w:pPr>
      <w:r>
        <w:rPr>
          <w:rFonts w:hint="eastAsia" w:ascii="方正仿宋_GBK" w:hAnsi="仿宋" w:eastAsia="仿宋" w:cs="仿宋"/>
          <w:color w:val="auto"/>
          <w:kern w:val="0"/>
          <w:szCs w:val="28"/>
          <w:highlight w:val="none"/>
          <w:lang w:eastAsia="zh-CN"/>
        </w:rPr>
        <w:t xml:space="preserve">        吴老师、李老师（财务科</w:t>
      </w:r>
      <w:r>
        <w:rPr>
          <w:rFonts w:hint="eastAsia" w:ascii="方正仿宋_GBK" w:hAnsi="仿宋" w:eastAsia="仿宋" w:cs="仿宋"/>
          <w:color w:val="auto"/>
          <w:kern w:val="0"/>
          <w:szCs w:val="28"/>
          <w:highlight w:val="none"/>
          <w:lang w:val="en-US" w:eastAsia="zh-CN"/>
        </w:rPr>
        <w:t>-采购组</w:t>
      </w:r>
      <w:r>
        <w:rPr>
          <w:rFonts w:hint="eastAsia" w:ascii="方正仿宋_GBK" w:hAnsi="仿宋" w:eastAsia="仿宋" w:cs="仿宋"/>
          <w:color w:val="auto"/>
          <w:kern w:val="0"/>
          <w:szCs w:val="28"/>
          <w:highlight w:val="none"/>
          <w:lang w:eastAsia="zh-CN"/>
        </w:rPr>
        <w:t xml:space="preserve">）      </w:t>
      </w:r>
      <w:r>
        <w:rPr>
          <w:rFonts w:hint="eastAsia" w:ascii="方正仿宋_GBK" w:hAnsi="仿宋" w:eastAsia="仿宋" w:cs="仿宋"/>
          <w:color w:val="auto"/>
          <w:kern w:val="0"/>
          <w:szCs w:val="28"/>
          <w:highlight w:val="none"/>
          <w:lang w:val="en-US" w:eastAsia="zh-CN"/>
        </w:rPr>
        <w:t xml:space="preserve"> </w:t>
      </w:r>
      <w:r>
        <w:rPr>
          <w:rFonts w:hint="eastAsia" w:ascii="方正仿宋_GBK" w:hAnsi="仿宋" w:eastAsia="仿宋" w:cs="仿宋"/>
          <w:color w:val="auto"/>
          <w:kern w:val="0"/>
          <w:szCs w:val="28"/>
          <w:highlight w:val="none"/>
          <w:lang w:eastAsia="zh-CN"/>
        </w:rPr>
        <w:t>联系电话：</w:t>
      </w:r>
      <w:r>
        <w:rPr>
          <w:rFonts w:hint="eastAsia" w:ascii="方正仿宋_GBK" w:hAnsi="仿宋" w:eastAsia="仿宋" w:cs="仿宋"/>
          <w:color w:val="auto"/>
          <w:kern w:val="0"/>
          <w:szCs w:val="28"/>
          <w:highlight w:val="none"/>
          <w:lang w:val="en-US" w:eastAsia="zh-CN"/>
        </w:rPr>
        <w:t>023-62867363</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p>
    <w:p>
      <w:pPr>
        <w:spacing w:line="520" w:lineRule="exact"/>
        <w:ind w:firstLine="5760" w:firstLineChars="24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重庆市巴南区第二人民医院</w:t>
      </w:r>
    </w:p>
    <w:p>
      <w:pPr>
        <w:spacing w:line="520" w:lineRule="exact"/>
        <w:ind w:firstLine="480" w:firstLineChars="200"/>
        <w:jc w:val="left"/>
        <w:rPr>
          <w:rFonts w:hint="eastAsia" w:ascii="仿宋" w:hAnsi="仿宋" w:eastAsia="仿宋" w:cs="仿宋"/>
          <w:color w:val="auto"/>
          <w:highlight w:val="none"/>
        </w:rPr>
      </w:pPr>
      <w:r>
        <w:rPr>
          <w:rFonts w:hint="eastAsia" w:ascii="方正仿宋_GBK" w:hAnsi="仿宋" w:eastAsia="仿宋" w:cs="仿宋"/>
          <w:color w:val="auto"/>
          <w:kern w:val="0"/>
          <w:szCs w:val="28"/>
          <w:highlight w:val="none"/>
          <w:lang w:eastAsia="zh-CN"/>
        </w:rPr>
        <w:t xml:space="preserve">                               </w:t>
      </w:r>
      <w:r>
        <w:rPr>
          <w:rFonts w:hint="eastAsia" w:ascii="方正仿宋_GBK" w:hAnsi="仿宋" w:eastAsia="仿宋" w:cs="仿宋"/>
          <w:color w:val="auto"/>
          <w:kern w:val="0"/>
          <w:szCs w:val="28"/>
          <w:highlight w:val="none"/>
          <w:lang w:val="en-US" w:eastAsia="zh-CN"/>
        </w:rPr>
        <w:t xml:space="preserve">                </w:t>
      </w:r>
      <w:r>
        <w:rPr>
          <w:rFonts w:hint="eastAsia" w:ascii="方正仿宋_GBK" w:hAnsi="仿宋" w:eastAsia="仿宋" w:cs="仿宋"/>
          <w:color w:val="auto"/>
          <w:kern w:val="0"/>
          <w:szCs w:val="28"/>
          <w:highlight w:val="none"/>
          <w:lang w:eastAsia="zh-CN"/>
        </w:rPr>
        <w:t>202</w:t>
      </w:r>
      <w:r>
        <w:rPr>
          <w:rFonts w:hint="eastAsia" w:ascii="方正仿宋_GBK" w:hAnsi="仿宋" w:eastAsia="仿宋" w:cs="仿宋"/>
          <w:color w:val="auto"/>
          <w:kern w:val="0"/>
          <w:szCs w:val="28"/>
          <w:highlight w:val="none"/>
          <w:lang w:val="en-US" w:eastAsia="zh-CN"/>
        </w:rPr>
        <w:t>4</w:t>
      </w:r>
      <w:r>
        <w:rPr>
          <w:rFonts w:hint="eastAsia" w:ascii="方正仿宋_GBK" w:hAnsi="仿宋" w:eastAsia="仿宋" w:cs="仿宋"/>
          <w:color w:val="auto"/>
          <w:kern w:val="0"/>
          <w:szCs w:val="28"/>
          <w:highlight w:val="none"/>
          <w:lang w:eastAsia="zh-CN"/>
        </w:rPr>
        <w:t>年</w:t>
      </w:r>
      <w:r>
        <w:rPr>
          <w:rFonts w:hint="eastAsia" w:ascii="方正仿宋_GBK" w:hAnsi="仿宋" w:eastAsia="仿宋" w:cs="仿宋"/>
          <w:color w:val="auto"/>
          <w:kern w:val="0"/>
          <w:szCs w:val="28"/>
          <w:highlight w:val="none"/>
          <w:lang w:val="en-US" w:eastAsia="zh-CN"/>
        </w:rPr>
        <w:t>6</w:t>
      </w:r>
      <w:r>
        <w:rPr>
          <w:rFonts w:hint="eastAsia" w:ascii="方正仿宋_GBK" w:hAnsi="仿宋" w:eastAsia="仿宋" w:cs="仿宋"/>
          <w:color w:val="auto"/>
          <w:kern w:val="0"/>
          <w:szCs w:val="28"/>
          <w:highlight w:val="none"/>
          <w:lang w:eastAsia="zh-CN"/>
        </w:rPr>
        <w:t>月</w:t>
      </w:r>
      <w:r>
        <w:rPr>
          <w:rFonts w:hint="eastAsia" w:ascii="方正仿宋_GBK" w:hAnsi="仿宋" w:eastAsia="仿宋" w:cs="仿宋"/>
          <w:color w:val="auto"/>
          <w:kern w:val="0"/>
          <w:szCs w:val="28"/>
          <w:highlight w:val="none"/>
          <w:lang w:val="en-US" w:eastAsia="zh-CN"/>
        </w:rPr>
        <w:t>18</w:t>
      </w:r>
      <w:r>
        <w:rPr>
          <w:rFonts w:hint="eastAsia" w:ascii="方正仿宋_GBK" w:hAnsi="仿宋" w:eastAsia="仿宋" w:cs="仿宋"/>
          <w:color w:val="auto"/>
          <w:kern w:val="0"/>
          <w:szCs w:val="28"/>
          <w:highlight w:val="none"/>
          <w:lang w:eastAsia="zh-CN"/>
        </w:rPr>
        <w:t>日</w:t>
      </w:r>
    </w:p>
    <w:p>
      <w:pPr>
        <w:spacing w:line="520" w:lineRule="exact"/>
        <w:ind w:firstLine="480" w:firstLineChars="200"/>
        <w:jc w:val="left"/>
        <w:rPr>
          <w:rFonts w:ascii="方正仿宋_GBK" w:hAnsi="仿宋" w:eastAsia="仿宋" w:cs="仿宋"/>
          <w:color w:val="auto"/>
          <w:kern w:val="0"/>
          <w:szCs w:val="28"/>
          <w:highlight w:val="none"/>
        </w:rPr>
        <w:sectPr>
          <w:footerReference r:id="rId5" w:type="default"/>
          <w:pgSz w:w="11907" w:h="16840"/>
          <w:pgMar w:top="1134" w:right="1191" w:bottom="1134" w:left="1304" w:header="794" w:footer="992" w:gutter="0"/>
          <w:pgBorders>
            <w:top w:val="none" w:sz="0" w:space="0"/>
            <w:left w:val="none" w:sz="0" w:space="0"/>
            <w:bottom w:val="none" w:sz="0" w:space="0"/>
            <w:right w:val="none" w:sz="0" w:space="0"/>
          </w:pgBorders>
          <w:pgNumType w:fmt="decimal"/>
          <w:cols w:space="720" w:num="1"/>
          <w:docGrid w:type="lines" w:linePitch="312" w:charSpace="0"/>
        </w:sectPr>
      </w:pPr>
    </w:p>
    <w:bookmarkEnd w:id="202"/>
    <w:p>
      <w:pPr>
        <w:pStyle w:val="3"/>
        <w:pageBreakBefore w:val="0"/>
        <w:numPr>
          <w:ilvl w:val="0"/>
          <w:numId w:val="0"/>
        </w:numPr>
        <w:tabs>
          <w:tab w:val="clear" w:pos="3360"/>
        </w:tabs>
        <w:kinsoku/>
        <w:wordWrap/>
        <w:overflowPunct/>
        <w:topLinePunct w:val="0"/>
        <w:autoSpaceDE/>
        <w:autoSpaceDN/>
        <w:bidi w:val="0"/>
        <w:spacing w:before="196" w:after="196" w:line="520" w:lineRule="exact"/>
        <w:ind w:leftChars="0"/>
        <w:textAlignment w:val="auto"/>
        <w:rPr>
          <w:rFonts w:eastAsia="仿宋" w:cs="宋体"/>
          <w:b/>
          <w:bCs/>
          <w:color w:val="auto"/>
          <w:szCs w:val="28"/>
          <w:highlight w:val="none"/>
        </w:rPr>
      </w:pPr>
      <w:bookmarkStart w:id="203" w:name="_Toc31928"/>
      <w:bookmarkStart w:id="204" w:name="_Toc7350"/>
      <w:bookmarkStart w:id="205" w:name="_Toc5040"/>
      <w:bookmarkStart w:id="206" w:name="_Toc21409"/>
      <w:bookmarkStart w:id="207" w:name="_Toc23459"/>
      <w:bookmarkStart w:id="208" w:name="_Toc7322"/>
      <w:bookmarkStart w:id="209" w:name="_Toc7482"/>
      <w:bookmarkStart w:id="210" w:name="_Toc20171"/>
      <w:bookmarkStart w:id="211" w:name="_Toc8199"/>
      <w:bookmarkStart w:id="212" w:name="_Toc11698"/>
      <w:bookmarkStart w:id="213" w:name="_Toc1822"/>
      <w:bookmarkStart w:id="214" w:name="_Toc2022"/>
      <w:bookmarkStart w:id="215" w:name="_Toc2578"/>
      <w:r>
        <w:rPr>
          <w:rFonts w:hint="eastAsia"/>
          <w:color w:val="auto"/>
          <w:szCs w:val="22"/>
          <w:highlight w:val="none"/>
          <w:lang w:eastAsia="zh-CN"/>
        </w:rPr>
        <w:t>第二篇</w:t>
      </w:r>
      <w:r>
        <w:rPr>
          <w:rFonts w:hint="eastAsia"/>
          <w:color w:val="auto"/>
          <w:szCs w:val="22"/>
          <w:highlight w:val="none"/>
          <w:lang w:val="en-US" w:eastAsia="zh-CN"/>
        </w:rPr>
        <w:t xml:space="preserve">  </w:t>
      </w:r>
      <w:r>
        <w:rPr>
          <w:rFonts w:hint="eastAsia"/>
          <w:color w:val="auto"/>
          <w:szCs w:val="22"/>
          <w:highlight w:val="none"/>
          <w:lang w:eastAsia="zh-CN"/>
        </w:rPr>
        <w:t>产品目录及技术</w:t>
      </w:r>
      <w:r>
        <w:rPr>
          <w:rFonts w:hint="eastAsia"/>
          <w:color w:val="auto"/>
          <w:szCs w:val="22"/>
          <w:highlight w:val="none"/>
        </w:rPr>
        <w:t>要求</w:t>
      </w:r>
      <w:bookmarkEnd w:id="203"/>
      <w:bookmarkEnd w:id="204"/>
      <w:bookmarkEnd w:id="205"/>
      <w:bookmarkEnd w:id="206"/>
      <w:bookmarkEnd w:id="207"/>
      <w:bookmarkEnd w:id="208"/>
      <w:bookmarkEnd w:id="209"/>
      <w:bookmarkEnd w:id="210"/>
      <w:bookmarkEnd w:id="211"/>
      <w:bookmarkEnd w:id="212"/>
      <w:bookmarkEnd w:id="213"/>
      <w:bookmarkEnd w:id="214"/>
      <w:bookmarkEnd w:id="215"/>
      <w:bookmarkStart w:id="216" w:name="_Toc24848"/>
      <w:bookmarkEnd w:id="216"/>
      <w:bookmarkStart w:id="217" w:name="_Toc421783196"/>
    </w:p>
    <w:tbl>
      <w:tblPr>
        <w:tblStyle w:val="24"/>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473"/>
        <w:gridCol w:w="1065"/>
        <w:gridCol w:w="2792"/>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b/>
                <w:color w:val="000000"/>
                <w:kern w:val="0"/>
                <w:sz w:val="21"/>
                <w:szCs w:val="21"/>
                <w:highlight w:val="none"/>
              </w:rPr>
            </w:pPr>
            <w:bookmarkStart w:id="218" w:name="_Toc28663"/>
            <w:bookmarkStart w:id="219" w:name="_Toc8618"/>
            <w:bookmarkStart w:id="220" w:name="_Toc29128"/>
            <w:bookmarkStart w:id="221" w:name="_Toc1636"/>
            <w:bookmarkStart w:id="222" w:name="_Toc21442"/>
            <w:r>
              <w:rPr>
                <w:rFonts w:hint="default" w:ascii="Times New Roman" w:hAnsi="Times New Roman" w:eastAsia="方正仿宋_GBK"/>
                <w:b/>
                <w:color w:val="000000"/>
                <w:kern w:val="0"/>
                <w:sz w:val="21"/>
                <w:szCs w:val="21"/>
                <w:highlight w:val="none"/>
              </w:rPr>
              <w:t>序号</w:t>
            </w:r>
          </w:p>
        </w:tc>
        <w:tc>
          <w:tcPr>
            <w:tcW w:w="2473"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b/>
                <w:color w:val="000000"/>
                <w:kern w:val="0"/>
                <w:sz w:val="21"/>
                <w:szCs w:val="21"/>
                <w:highlight w:val="none"/>
              </w:rPr>
            </w:pPr>
            <w:r>
              <w:rPr>
                <w:rFonts w:hint="default" w:ascii="Times New Roman" w:hAnsi="Times New Roman" w:eastAsia="方正仿宋_GBK"/>
                <w:b/>
                <w:color w:val="000000"/>
                <w:kern w:val="0"/>
                <w:sz w:val="21"/>
                <w:szCs w:val="21"/>
                <w:highlight w:val="none"/>
              </w:rPr>
              <w:t>名称</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b/>
                <w:color w:val="000000"/>
                <w:kern w:val="0"/>
                <w:sz w:val="21"/>
                <w:szCs w:val="21"/>
                <w:highlight w:val="none"/>
              </w:rPr>
            </w:pPr>
            <w:r>
              <w:rPr>
                <w:rFonts w:hint="default" w:ascii="Times New Roman" w:hAnsi="Times New Roman" w:eastAsia="方正仿宋_GBK"/>
                <w:b/>
                <w:color w:val="000000"/>
                <w:kern w:val="0"/>
                <w:sz w:val="21"/>
                <w:szCs w:val="21"/>
                <w:highlight w:val="none"/>
              </w:rPr>
              <w:t>包装规格</w:t>
            </w:r>
          </w:p>
        </w:tc>
        <w:tc>
          <w:tcPr>
            <w:tcW w:w="2792"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b/>
                <w:color w:val="000000"/>
                <w:kern w:val="0"/>
                <w:sz w:val="21"/>
                <w:szCs w:val="21"/>
                <w:highlight w:val="none"/>
              </w:rPr>
            </w:pPr>
            <w:r>
              <w:rPr>
                <w:rFonts w:hint="default" w:ascii="Times New Roman" w:hAnsi="Times New Roman" w:eastAsia="方正仿宋_GBK"/>
                <w:b/>
                <w:color w:val="000000"/>
                <w:kern w:val="0"/>
                <w:sz w:val="21"/>
                <w:szCs w:val="21"/>
                <w:highlight w:val="none"/>
              </w:rPr>
              <w:t>产品参数</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b/>
                <w:color w:val="000000"/>
                <w:kern w:val="0"/>
                <w:sz w:val="21"/>
                <w:szCs w:val="21"/>
                <w:highlight w:val="none"/>
              </w:rPr>
            </w:pPr>
            <w:r>
              <w:rPr>
                <w:rFonts w:hint="default" w:ascii="Times New Roman" w:hAnsi="Times New Roman" w:eastAsia="方正仿宋_GBK"/>
                <w:b/>
                <w:color w:val="000000"/>
                <w:kern w:val="0"/>
                <w:sz w:val="21"/>
                <w:szCs w:val="21"/>
                <w:highlight w:val="none"/>
              </w:rPr>
              <w:t>最高限价（元）/g、ml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color w:val="000000"/>
                <w:kern w:val="0"/>
                <w:sz w:val="21"/>
                <w:szCs w:val="21"/>
                <w:highlight w:val="none"/>
              </w:rPr>
            </w:pPr>
            <w:r>
              <w:rPr>
                <w:rFonts w:hint="default" w:ascii="Times New Roman" w:hAnsi="Times New Roman" w:eastAsia="方正仿宋_GBK"/>
                <w:color w:val="000000"/>
                <w:kern w:val="0"/>
                <w:sz w:val="21"/>
                <w:szCs w:val="21"/>
                <w:highlight w:val="none"/>
              </w:rPr>
              <w:t>1</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儿童益生菌</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kern w:val="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1、含多联益生菌，乳双歧杆菌（BB-12、Bi-07、HN019),鼠李糖乳杆菌HN001联合配方）                     </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2、所有菌株可用于婴幼儿                                          3、益生元+益生菌复配</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4、出厂100亿cfu/条</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color w:val="000000"/>
                <w:kern w:val="0"/>
                <w:sz w:val="21"/>
                <w:szCs w:val="21"/>
                <w:highlight w:val="none"/>
              </w:rPr>
            </w:pPr>
            <w:r>
              <w:rPr>
                <w:rFonts w:hint="default" w:ascii="Times New Roman" w:hAnsi="Times New Roman" w:eastAsia="方正仿宋_GBK"/>
                <w:color w:val="000000"/>
                <w:kern w:val="0"/>
                <w:sz w:val="21"/>
                <w:szCs w:val="21"/>
                <w:highlight w:val="none"/>
              </w:rPr>
              <w:t>2</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钙维生素D粉</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每5g含钙≥600mg，</w:t>
            </w:r>
          </w:p>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含维生素D400IU</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1.</w:t>
            </w:r>
            <w:r>
              <w:rPr>
                <w:rFonts w:hint="eastAsia"/>
                <w:color w:val="000000"/>
                <w:sz w:val="21"/>
                <w:szCs w:val="21"/>
                <w:highlight w:val="none"/>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color w:val="000000"/>
                <w:kern w:val="0"/>
                <w:sz w:val="21"/>
                <w:szCs w:val="21"/>
                <w:highlight w:val="none"/>
              </w:rPr>
            </w:pPr>
            <w:r>
              <w:rPr>
                <w:rFonts w:hint="default" w:ascii="Times New Roman" w:hAnsi="Times New Roman" w:eastAsia="方正仿宋_GBK"/>
                <w:color w:val="000000"/>
                <w:kern w:val="0"/>
                <w:sz w:val="21"/>
                <w:szCs w:val="21"/>
                <w:highlight w:val="none"/>
              </w:rPr>
              <w:t>3</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锌硒粉</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每3g含锌≥12mg，硒≥20ug</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color w:val="000000"/>
                <w:sz w:val="21"/>
                <w:szCs w:val="21"/>
                <w:highlight w:val="none"/>
                <w:lang w:val="en-US" w:eastAsia="zh-CN"/>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color w:val="000000"/>
                <w:kern w:val="0"/>
                <w:sz w:val="21"/>
                <w:szCs w:val="21"/>
                <w:highlight w:val="none"/>
              </w:rPr>
            </w:pPr>
            <w:r>
              <w:rPr>
                <w:rFonts w:hint="default" w:ascii="Times New Roman" w:hAnsi="Times New Roman" w:eastAsia="方正仿宋_GBK"/>
                <w:color w:val="000000"/>
                <w:kern w:val="0"/>
                <w:sz w:val="21"/>
                <w:szCs w:val="21"/>
                <w:highlight w:val="none"/>
              </w:rPr>
              <w:t>4</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多维矿物质粉</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每5g含15种维生素及矿物质，含钙≥200mg</w:t>
            </w:r>
          </w:p>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含叶酸</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eastAsia"/>
                <w:color w:val="000000"/>
                <w:kern w:val="0"/>
                <w:sz w:val="21"/>
                <w:szCs w:val="21"/>
                <w:highlight w:val="none"/>
                <w:lang w:val="en-US" w:eastAsia="zh-CN"/>
              </w:rPr>
              <w:t>5</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γ-氨基丁酸</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1.每3g含γ-氨基丁酸≥100mg</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eastAsia"/>
                <w:color w:val="000000"/>
                <w:kern w:val="0"/>
                <w:sz w:val="21"/>
                <w:szCs w:val="21"/>
                <w:highlight w:val="none"/>
                <w:lang w:val="en-US" w:eastAsia="zh-CN"/>
              </w:rPr>
              <w:t>6</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乳糖酶蛋白</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numPr>
                <w:ilvl w:val="0"/>
                <w:numId w:val="1"/>
              </w:numPr>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含乳糖酶、低聚果糖、动物双歧杆菌Bb-12，</w:t>
            </w:r>
          </w:p>
          <w:p>
            <w:pPr>
              <w:keepNext w:val="0"/>
              <w:keepLines w:val="0"/>
              <w:widowControl/>
              <w:numPr>
                <w:ilvl w:val="0"/>
                <w:numId w:val="1"/>
              </w:numPr>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每1g含≥6000个活力单位；</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eastAsia"/>
                <w:color w:val="000000"/>
                <w:kern w:val="0"/>
                <w:sz w:val="21"/>
                <w:szCs w:val="21"/>
                <w:highlight w:val="none"/>
                <w:lang w:val="en-US" w:eastAsia="zh-CN"/>
              </w:rPr>
              <w:t>7</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kern w:val="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乳铁蛋白</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kern w:val="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kern w:val="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1、每g含N-乙酰神经氨酸≥20mg，牛磺酸≥360ug</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2、每g添加乳铁蛋白≥1mg，免疫球蛋白IgG≥50mg</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kern w:val="0"/>
                <w:sz w:val="21"/>
                <w:szCs w:val="21"/>
                <w:highlight w:val="none"/>
                <w:lang w:val="en-US" w:eastAsia="zh-CN"/>
              </w:rPr>
            </w:pPr>
            <w:r>
              <w:rPr>
                <w:rFonts w:hint="eastAsia"/>
                <w:color w:val="000000"/>
                <w:kern w:val="0"/>
                <w:sz w:val="21"/>
                <w:szCs w:val="21"/>
                <w:highlight w:val="none"/>
                <w:lang w:val="en-US" w:eastAsia="zh-CN"/>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eastAsia"/>
                <w:color w:val="000000"/>
                <w:kern w:val="0"/>
                <w:sz w:val="21"/>
                <w:szCs w:val="21"/>
                <w:highlight w:val="none"/>
                <w:lang w:val="en-US" w:eastAsia="zh-CN"/>
              </w:rPr>
              <w:t>8</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DHA藻油</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每700mg含DHA藻油≥225mg（提供DHA 100mg），亚麻籽油≥50mg（含a-亚麻酸25mg），含花生四烯酸</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eastAsia"/>
                <w:color w:val="000000"/>
                <w:kern w:val="0"/>
                <w:sz w:val="21"/>
                <w:szCs w:val="21"/>
                <w:highlight w:val="none"/>
                <w:lang w:val="en-US" w:eastAsia="zh-CN"/>
              </w:rPr>
              <w:t>9</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高脂蛋白</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1、每100克含</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蛋白质：≥22g，</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脂肪：≥24g，</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2、含鱼油DHA粉、MCT</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default" w:ascii="Times New Roman" w:hAnsi="Times New Roman" w:eastAsia="方正仿宋_GBK"/>
                <w:color w:val="000000"/>
                <w:kern w:val="0"/>
                <w:sz w:val="21"/>
                <w:szCs w:val="21"/>
                <w:highlight w:val="none"/>
              </w:rPr>
              <w:t>1</w:t>
            </w:r>
            <w:r>
              <w:rPr>
                <w:rFonts w:hint="eastAsia"/>
                <w:color w:val="000000"/>
                <w:kern w:val="0"/>
                <w:sz w:val="21"/>
                <w:szCs w:val="21"/>
                <w:highlight w:val="none"/>
                <w:lang w:val="en-US" w:eastAsia="zh-CN"/>
              </w:rPr>
              <w:t>0</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匀浆膳（常规型）</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每100g含</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能量：≥1811kJ；</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蛋白质：≥19g；</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脂肪：≥12g；</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碳水化合物：≥60g；</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default" w:ascii="Times New Roman" w:hAnsi="Times New Roman" w:eastAsia="方正仿宋_GBK"/>
                <w:color w:val="000000"/>
                <w:kern w:val="0"/>
                <w:sz w:val="21"/>
                <w:szCs w:val="21"/>
                <w:highlight w:val="none"/>
              </w:rPr>
              <w:t>1</w:t>
            </w:r>
            <w:r>
              <w:rPr>
                <w:rFonts w:hint="eastAsia"/>
                <w:color w:val="000000"/>
                <w:kern w:val="0"/>
                <w:sz w:val="21"/>
                <w:szCs w:val="21"/>
                <w:highlight w:val="none"/>
                <w:lang w:val="en-US" w:eastAsia="zh-CN"/>
              </w:rPr>
              <w:t>1</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匀浆膳（高纤型）</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每100g含有</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能量：≥1824kJ；</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蛋白质：≥20g；</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脂肪：≥14g；</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碳水化合物：≥54g；</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膳食纤维≥6g</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default" w:ascii="Times New Roman" w:hAnsi="Times New Roman" w:eastAsia="方正仿宋_GBK"/>
                <w:color w:val="000000"/>
                <w:kern w:val="0"/>
                <w:sz w:val="21"/>
                <w:szCs w:val="21"/>
                <w:highlight w:val="none"/>
              </w:rPr>
              <w:t>1</w:t>
            </w:r>
            <w:r>
              <w:rPr>
                <w:rFonts w:hint="eastAsia"/>
                <w:color w:val="000000"/>
                <w:kern w:val="0"/>
                <w:sz w:val="21"/>
                <w:szCs w:val="21"/>
                <w:highlight w:val="none"/>
                <w:lang w:val="en-US" w:eastAsia="zh-CN"/>
              </w:rPr>
              <w:t>2</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匀浆膳（低渗型）</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1.每100g含有能量：≥1721kJ；蛋白质：≥14g；脂肪：≥7.1g；碳水化合物：≥70g</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2.渗透压≤250mOsm/L</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default" w:ascii="Times New Roman" w:hAnsi="Times New Roman" w:eastAsia="方正仿宋_GBK"/>
                <w:color w:val="000000"/>
                <w:kern w:val="0"/>
                <w:sz w:val="21"/>
                <w:szCs w:val="21"/>
                <w:highlight w:val="none"/>
              </w:rPr>
              <w:t>1</w:t>
            </w:r>
            <w:r>
              <w:rPr>
                <w:rFonts w:hint="eastAsia"/>
                <w:color w:val="000000"/>
                <w:kern w:val="0"/>
                <w:sz w:val="21"/>
                <w:szCs w:val="21"/>
                <w:highlight w:val="none"/>
                <w:lang w:val="en-US" w:eastAsia="zh-CN"/>
              </w:rPr>
              <w:t>3</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成人益生菌</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numPr>
                <w:ilvl w:val="0"/>
                <w:numId w:val="2"/>
              </w:numPr>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多联益生菌含3种菌株及以上</w:t>
            </w:r>
          </w:p>
          <w:p>
            <w:pPr>
              <w:keepNext w:val="0"/>
              <w:keepLines w:val="0"/>
              <w:widowControl/>
              <w:numPr>
                <w:ilvl w:val="0"/>
                <w:numId w:val="0"/>
              </w:numPr>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2.含乳双歧杆菌HN019、鼠李糖乳杆菌HN0001、嗜酸乳杆菌NCFM。</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3.出厂≥100亿cfu/条。</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4.益生菌+益生元复配</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5.5</w:t>
            </w:r>
            <w:r>
              <w:rPr>
                <w:rFonts w:hint="eastAsia"/>
                <w:color w:val="00000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default" w:ascii="Times New Roman" w:hAnsi="Times New Roman" w:eastAsia="方正仿宋_GBK"/>
                <w:color w:val="000000"/>
                <w:kern w:val="0"/>
                <w:sz w:val="21"/>
                <w:szCs w:val="21"/>
                <w:highlight w:val="none"/>
              </w:rPr>
              <w:t>1</w:t>
            </w:r>
            <w:r>
              <w:rPr>
                <w:rFonts w:hint="eastAsia"/>
                <w:color w:val="000000"/>
                <w:kern w:val="0"/>
                <w:sz w:val="21"/>
                <w:szCs w:val="21"/>
                <w:highlight w:val="none"/>
                <w:lang w:val="en-US" w:eastAsia="zh-CN"/>
              </w:rPr>
              <w:t>4</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膳食纤维</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default" w:ascii="宋体" w:hAnsi="宋体" w:eastAsia="宋体" w:cs="宋体"/>
                <w:i w:val="0"/>
                <w:iCs w:val="0"/>
                <w:color w:val="000000"/>
                <w:kern w:val="0"/>
                <w:sz w:val="22"/>
                <w:szCs w:val="22"/>
                <w:highlight w:val="none"/>
                <w:u w:val="none"/>
                <w:lang w:eastAsia="zh-CN" w:bidi="ar"/>
              </w:rPr>
              <w:t>每100g含：</w:t>
            </w:r>
            <w:r>
              <w:rPr>
                <w:rFonts w:hint="eastAsia" w:ascii="宋体" w:hAnsi="宋体" w:eastAsia="宋体" w:cs="宋体"/>
                <w:i w:val="0"/>
                <w:iCs w:val="0"/>
                <w:color w:val="000000"/>
                <w:kern w:val="0"/>
                <w:sz w:val="22"/>
                <w:szCs w:val="22"/>
                <w:highlight w:val="none"/>
                <w:u w:val="none"/>
                <w:lang w:val="en-US" w:eastAsia="zh-CN" w:bidi="ar"/>
              </w:rPr>
              <w:t>膳食纤维含量≥9</w:t>
            </w:r>
            <w:r>
              <w:rPr>
                <w:rFonts w:hint="default" w:ascii="宋体" w:hAnsi="宋体" w:eastAsia="宋体" w:cs="宋体"/>
                <w:i w:val="0"/>
                <w:iCs w:val="0"/>
                <w:color w:val="000000"/>
                <w:kern w:val="0"/>
                <w:sz w:val="22"/>
                <w:szCs w:val="22"/>
                <w:highlight w:val="none"/>
                <w:u w:val="none"/>
                <w:lang w:eastAsia="zh-CN" w:bidi="ar"/>
              </w:rPr>
              <w:t>1.9</w:t>
            </w:r>
            <w:r>
              <w:rPr>
                <w:rFonts w:hint="eastAsia" w:ascii="宋体" w:hAnsi="宋体" w:eastAsia="宋体" w:cs="宋体"/>
                <w:i w:val="0"/>
                <w:iCs w:val="0"/>
                <w:color w:val="000000"/>
                <w:kern w:val="0"/>
                <w:sz w:val="22"/>
                <w:szCs w:val="22"/>
                <w:highlight w:val="none"/>
                <w:u w:val="none"/>
                <w:lang w:val="en-US" w:eastAsia="zh-CN" w:bidi="ar"/>
              </w:rPr>
              <w:t>%</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color w:val="000000"/>
                <w:sz w:val="21"/>
                <w:szCs w:val="21"/>
                <w:highlight w:val="none"/>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default" w:ascii="Times New Roman" w:hAnsi="Times New Roman" w:eastAsia="方正仿宋_GBK"/>
                <w:color w:val="000000"/>
                <w:kern w:val="0"/>
                <w:sz w:val="21"/>
                <w:szCs w:val="21"/>
                <w:highlight w:val="none"/>
              </w:rPr>
              <w:t>1</w:t>
            </w:r>
            <w:r>
              <w:rPr>
                <w:rFonts w:hint="eastAsia"/>
                <w:color w:val="000000"/>
                <w:kern w:val="0"/>
                <w:sz w:val="21"/>
                <w:szCs w:val="21"/>
                <w:highlight w:val="none"/>
                <w:lang w:val="en-US" w:eastAsia="zh-CN"/>
              </w:rPr>
              <w:t>5</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分离乳清蛋白</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1、不含脂肪、低乳糖。</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2、每100g含≥90g蛋白质，蛋白质来源100%分离乳清蛋白</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1.</w:t>
            </w:r>
            <w:r>
              <w:rPr>
                <w:rFonts w:hint="eastAsia"/>
                <w:color w:val="000000"/>
                <w:sz w:val="21"/>
                <w:szCs w:val="21"/>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default" w:ascii="Times New Roman" w:hAnsi="Times New Roman" w:eastAsia="方正仿宋_GBK"/>
                <w:color w:val="000000"/>
                <w:kern w:val="0"/>
                <w:sz w:val="21"/>
                <w:szCs w:val="21"/>
                <w:highlight w:val="none"/>
              </w:rPr>
              <w:t>1</w:t>
            </w:r>
            <w:r>
              <w:rPr>
                <w:rFonts w:hint="eastAsia"/>
                <w:color w:val="000000"/>
                <w:kern w:val="0"/>
                <w:sz w:val="21"/>
                <w:szCs w:val="21"/>
                <w:highlight w:val="none"/>
                <w:lang w:val="en-US" w:eastAsia="zh-CN"/>
              </w:rPr>
              <w:t>6</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碳水化合物组件（特医）</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具备特医证</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1.蛋白、脂肪、膳食纤维、乳糖含量为0，含碳水化合物≥12.5%</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2.不含电解质</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0.3</w:t>
            </w:r>
            <w:r>
              <w:rPr>
                <w:rFonts w:hint="eastAsia"/>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color w:val="000000"/>
                <w:kern w:val="0"/>
                <w:sz w:val="21"/>
                <w:szCs w:val="21"/>
                <w:highlight w:val="none"/>
                <w:lang w:val="en-US" w:eastAsia="zh-CN"/>
              </w:rPr>
            </w:pPr>
            <w:r>
              <w:rPr>
                <w:rFonts w:hint="eastAsia" w:ascii="Times New Roman" w:hAnsi="Times New Roman" w:eastAsia="方正仿宋_GBK"/>
                <w:color w:val="000000"/>
                <w:kern w:val="0"/>
                <w:sz w:val="21"/>
                <w:szCs w:val="21"/>
                <w:highlight w:val="none"/>
                <w:lang w:val="en-US" w:eastAsia="zh-CN"/>
              </w:rPr>
              <w:t>1</w:t>
            </w:r>
            <w:r>
              <w:rPr>
                <w:rFonts w:hint="eastAsia"/>
                <w:color w:val="000000"/>
                <w:kern w:val="0"/>
                <w:sz w:val="21"/>
                <w:szCs w:val="21"/>
                <w:highlight w:val="none"/>
                <w:lang w:val="en-US" w:eastAsia="zh-CN"/>
              </w:rPr>
              <w:t>7</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全营养（特医）</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1.具备特医证</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2.使用动植物双蛋白。每100g提供能量≥1835KJ，蛋白质≥16.7g，脂肪≥14.5g，碳水化合物≥58.2g，含膳食纤维。</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3.含肌醇</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4.不含有香精</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5.含益生菌元低聚果糖</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color w:val="000000"/>
                <w:sz w:val="21"/>
                <w:szCs w:val="21"/>
                <w:highlight w:val="none"/>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color w:val="000000"/>
                <w:kern w:val="0"/>
                <w:sz w:val="21"/>
                <w:szCs w:val="21"/>
                <w:highlight w:val="none"/>
                <w:lang w:val="en-US" w:eastAsia="zh-CN"/>
              </w:rPr>
            </w:pPr>
            <w:r>
              <w:rPr>
                <w:rFonts w:hint="eastAsia"/>
                <w:color w:val="000000"/>
                <w:kern w:val="0"/>
                <w:sz w:val="21"/>
                <w:szCs w:val="21"/>
                <w:highlight w:val="none"/>
                <w:lang w:val="en-US" w:eastAsia="zh-CN"/>
              </w:rPr>
              <w:t>18</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lang w:val="en-US"/>
              </w:rPr>
            </w:pPr>
            <w:r>
              <w:rPr>
                <w:rFonts w:hint="eastAsia" w:ascii="宋体" w:hAnsi="宋体" w:eastAsia="宋体" w:cs="宋体"/>
                <w:i w:val="0"/>
                <w:iCs w:val="0"/>
                <w:color w:val="000000"/>
                <w:kern w:val="0"/>
                <w:sz w:val="22"/>
                <w:szCs w:val="22"/>
                <w:highlight w:val="none"/>
                <w:u w:val="none"/>
                <w:lang w:val="en-US" w:eastAsia="zh-CN" w:bidi="ar"/>
              </w:rPr>
              <w:t>均衡蛋白组件（特医）</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1.使用动植物双蛋白，每100g含能量≥1873kJ，蛋白质≥16.2g</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 xml:space="preserve">2.含有小麦低聚肽 </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3.不含胆固醇和乳糖</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4.含益生菌</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color w:val="000000"/>
                <w:kern w:val="0"/>
                <w:sz w:val="21"/>
                <w:szCs w:val="21"/>
                <w:highlight w:val="none"/>
                <w:lang w:val="en-US" w:eastAsia="zh-CN"/>
              </w:rPr>
            </w:pPr>
            <w:r>
              <w:rPr>
                <w:rFonts w:hint="eastAsia"/>
                <w:color w:val="000000"/>
                <w:kern w:val="0"/>
                <w:sz w:val="21"/>
                <w:szCs w:val="21"/>
                <w:highlight w:val="none"/>
                <w:lang w:val="en-US" w:eastAsia="zh-CN"/>
              </w:rPr>
              <w:t>19</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短肽</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numPr>
                <w:ilvl w:val="0"/>
                <w:numId w:val="3"/>
              </w:numPr>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每100克热量：≥1613kJ,蛋白质：≥19g，脂肪：≥1g，碳水化合物：≥74g</w:t>
            </w:r>
          </w:p>
          <w:p>
            <w:pPr>
              <w:keepNext w:val="0"/>
              <w:keepLines w:val="0"/>
              <w:widowControl/>
              <w:numPr>
                <w:ilvl w:val="0"/>
                <w:numId w:val="0"/>
              </w:numPr>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lang w:val="en-US"/>
              </w:rPr>
            </w:pPr>
            <w:r>
              <w:rPr>
                <w:rFonts w:hint="eastAsia" w:ascii="宋体" w:hAnsi="宋体" w:eastAsia="宋体" w:cs="宋体"/>
                <w:i w:val="0"/>
                <w:iCs w:val="0"/>
                <w:color w:val="000000"/>
                <w:kern w:val="0"/>
                <w:sz w:val="22"/>
                <w:szCs w:val="22"/>
                <w:highlight w:val="none"/>
                <w:u w:val="none"/>
                <w:lang w:val="en-US" w:eastAsia="zh-CN" w:bidi="ar"/>
              </w:rPr>
              <w:t>2、脂肪占热比&lt;5%。含短肽和游离氨基酸</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 ω-3脂肪酸作为主要脂肪供给</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color w:val="000000"/>
                <w:sz w:val="21"/>
                <w:szCs w:val="21"/>
                <w:highlight w:val="none"/>
                <w:lang w:val="en-US" w:eastAsia="zh-CN"/>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default" w:ascii="Times New Roman" w:hAnsi="Times New Roman" w:eastAsia="方正仿宋_GBK"/>
                <w:color w:val="000000"/>
                <w:kern w:val="0"/>
                <w:sz w:val="21"/>
                <w:szCs w:val="21"/>
                <w:highlight w:val="none"/>
              </w:rPr>
              <w:t>2</w:t>
            </w:r>
            <w:r>
              <w:rPr>
                <w:rFonts w:hint="eastAsia"/>
                <w:color w:val="000000"/>
                <w:kern w:val="0"/>
                <w:sz w:val="21"/>
                <w:szCs w:val="21"/>
                <w:highlight w:val="none"/>
                <w:lang w:val="en-US" w:eastAsia="zh-CN"/>
              </w:rPr>
              <w:t>0</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水溶性维生素</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含有VC ，VB1，VB2，VB6，VB12等多种维生素</w:t>
            </w:r>
          </w:p>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含泛酸，烟酸，叶酸，生物素</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color w:val="000000"/>
                <w:kern w:val="0"/>
                <w:sz w:val="21"/>
                <w:szCs w:val="21"/>
                <w:highlight w:val="none"/>
                <w:lang w:val="en-US" w:eastAsia="zh-CN"/>
              </w:rPr>
            </w:pPr>
            <w:r>
              <w:rPr>
                <w:rFonts w:hint="eastAsia"/>
                <w:color w:val="000000"/>
                <w:kern w:val="0"/>
                <w:sz w:val="21"/>
                <w:szCs w:val="21"/>
                <w:highlight w:val="none"/>
                <w:lang w:val="en-US" w:eastAsia="zh-CN"/>
              </w:rPr>
              <w:t>21</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酵茶素</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numPr>
                <w:ilvl w:val="0"/>
                <w:numId w:val="0"/>
              </w:numPr>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1.含天然黑茶、金花菌</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 0脂肪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 0蔗糖、0农残、0防腐剂</w:t>
            </w:r>
          </w:p>
          <w:p>
            <w:pPr>
              <w:pStyle w:val="7"/>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4.每100g含：茶多酚≥29.6g、儿茶素类总量≥7.94g</w:t>
            </w:r>
          </w:p>
          <w:p>
            <w:pPr>
              <w:keepNext w:val="0"/>
              <w:keepLines w:val="0"/>
              <w:suppressLineNumbers w:val="0"/>
              <w:spacing w:before="0" w:beforeAutospacing="0" w:after="0" w:afterAutospacing="0"/>
              <w:ind w:left="0" w:right="0"/>
              <w:rPr>
                <w:rFonts w:hint="default"/>
                <w:color w:val="000000"/>
                <w:szCs w:val="20"/>
                <w:highlight w:val="none"/>
                <w:lang w:val="en-US"/>
              </w:rPr>
            </w:pPr>
            <w:r>
              <w:rPr>
                <w:rFonts w:hint="eastAsia" w:ascii="宋体" w:hAnsi="宋体" w:eastAsia="宋体" w:cs="宋体"/>
                <w:i w:val="0"/>
                <w:iCs w:val="0"/>
                <w:color w:val="000000"/>
                <w:kern w:val="0"/>
                <w:sz w:val="22"/>
                <w:szCs w:val="22"/>
                <w:highlight w:val="none"/>
                <w:u w:val="none"/>
                <w:lang w:val="en-US" w:eastAsia="zh-CN" w:bidi="ar"/>
              </w:rPr>
              <w:t>5.每1000g含：茶氨酸≥6.47g</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color w:val="000000"/>
                <w:kern w:val="0"/>
                <w:sz w:val="21"/>
                <w:szCs w:val="21"/>
                <w:highlight w:val="none"/>
                <w:lang w:val="en-US" w:eastAsia="zh-CN"/>
              </w:rPr>
            </w:pPr>
            <w:r>
              <w:rPr>
                <w:rFonts w:hint="eastAsia"/>
                <w:color w:val="000000"/>
                <w:kern w:val="0"/>
                <w:sz w:val="21"/>
                <w:szCs w:val="21"/>
                <w:highlight w:val="none"/>
                <w:lang w:val="en-US" w:eastAsia="zh-CN"/>
              </w:rPr>
              <w:t>22</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全营养（代餐）</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numPr>
                <w:ilvl w:val="0"/>
                <w:numId w:val="4"/>
              </w:numPr>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采用纯天然植物蛋白。</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2、每100g含：能量≥1224KJ，蛋白质≥22.7g，脂肪≥2.9g，碳水化合物≥68g。</w:t>
            </w:r>
          </w:p>
          <w:p>
            <w:pPr>
              <w:keepNext w:val="0"/>
              <w:keepLines w:val="0"/>
              <w:widowControl/>
              <w:numPr>
                <w:ilvl w:val="0"/>
                <w:numId w:val="0"/>
              </w:numPr>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lang w:val="en-US"/>
              </w:rPr>
            </w:pPr>
            <w:r>
              <w:rPr>
                <w:rFonts w:hint="eastAsia" w:ascii="宋体" w:hAnsi="宋体" w:eastAsia="宋体" w:cs="宋体"/>
                <w:i w:val="0"/>
                <w:iCs w:val="0"/>
                <w:color w:val="000000"/>
                <w:kern w:val="0"/>
                <w:sz w:val="22"/>
                <w:szCs w:val="22"/>
                <w:highlight w:val="none"/>
                <w:u w:val="none"/>
                <w:lang w:val="en-US" w:eastAsia="zh-CN" w:bidi="ar"/>
              </w:rPr>
              <w:t>3、含膳食纤维。</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4、无蔗糖、无防腐剂，不含钠</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0.7</w:t>
            </w:r>
          </w:p>
        </w:tc>
      </w:tr>
    </w:tbl>
    <w:p>
      <w:pPr>
        <w:pageBreakBefore w:val="0"/>
        <w:widowControl w:val="0"/>
        <w:kinsoku/>
        <w:wordWrap/>
        <w:overflowPunct/>
        <w:topLinePunct w:val="0"/>
        <w:autoSpaceDE/>
        <w:autoSpaceDN/>
        <w:bidi w:val="0"/>
        <w:spacing w:line="520" w:lineRule="exact"/>
        <w:ind w:firstLine="438" w:firstLineChars="200"/>
        <w:textAlignment w:val="auto"/>
        <w:rPr>
          <w:rFonts w:hint="eastAsia" w:ascii="仿宋" w:hAnsi="仿宋" w:eastAsia="仿宋" w:cs="仿宋"/>
          <w:color w:val="auto"/>
          <w:szCs w:val="28"/>
          <w:highlight w:val="none"/>
          <w:lang w:eastAsia="zh-CN"/>
        </w:rPr>
      </w:pPr>
      <w:r>
        <w:rPr>
          <w:rFonts w:hint="eastAsia" w:ascii="仿宋" w:hAnsi="仿宋" w:eastAsia="仿宋" w:cs="仿宋"/>
          <w:color w:val="auto"/>
          <w:szCs w:val="28"/>
          <w:highlight w:val="none"/>
          <w:lang w:eastAsia="zh-CN"/>
        </w:rPr>
        <w:br w:type="page"/>
      </w:r>
    </w:p>
    <w:bookmarkEnd w:id="218"/>
    <w:bookmarkEnd w:id="219"/>
    <w:bookmarkEnd w:id="220"/>
    <w:bookmarkEnd w:id="221"/>
    <w:bookmarkEnd w:id="222"/>
    <w:p>
      <w:pPr>
        <w:pStyle w:val="3"/>
        <w:numPr>
          <w:ilvl w:val="0"/>
          <w:numId w:val="0"/>
        </w:numPr>
        <w:spacing w:before="196" w:after="196"/>
        <w:ind w:leftChars="0"/>
        <w:jc w:val="center"/>
        <w:rPr>
          <w:rFonts w:hint="eastAsia" w:ascii="方正仿宋_GBK" w:hAnsi="方正仿宋_GBK" w:eastAsia="仿宋" w:cs="方正仿宋_GBK"/>
          <w:color w:val="auto"/>
          <w:kern w:val="2"/>
          <w:sz w:val="24"/>
          <w:szCs w:val="28"/>
          <w:highlight w:val="none"/>
          <w:lang w:val="en-US" w:eastAsia="zh-CN" w:bidi="ar-SA"/>
        </w:rPr>
      </w:pPr>
      <w:bookmarkStart w:id="223" w:name="_Toc13454"/>
      <w:bookmarkStart w:id="224" w:name="_Toc29474"/>
      <w:bookmarkStart w:id="225" w:name="_Toc17260"/>
      <w:bookmarkStart w:id="226" w:name="_Toc14357"/>
      <w:bookmarkStart w:id="227" w:name="_Toc21839"/>
      <w:bookmarkStart w:id="228" w:name="_Toc7209"/>
      <w:bookmarkStart w:id="229" w:name="_Toc4600"/>
      <w:bookmarkStart w:id="230" w:name="_Toc30653"/>
      <w:bookmarkStart w:id="231" w:name="_Toc13929"/>
      <w:bookmarkStart w:id="232" w:name="_Toc1773"/>
      <w:bookmarkStart w:id="233" w:name="_Toc27837"/>
      <w:bookmarkStart w:id="234" w:name="_Toc3944"/>
      <w:bookmarkStart w:id="235" w:name="_Toc7413"/>
      <w:bookmarkStart w:id="236" w:name="_Toc4813"/>
      <w:bookmarkStart w:id="237" w:name="_Toc22261"/>
      <w:bookmarkStart w:id="238" w:name="_Toc1898"/>
      <w:bookmarkStart w:id="239" w:name="_Toc4982"/>
      <w:bookmarkStart w:id="240" w:name="_Toc14010"/>
      <w:bookmarkStart w:id="241" w:name="_Toc17633"/>
      <w:bookmarkStart w:id="242" w:name="_Toc525"/>
      <w:bookmarkStart w:id="243" w:name="_Toc8563"/>
      <w:bookmarkStart w:id="244" w:name="_Toc6981"/>
      <w:bookmarkStart w:id="245" w:name="_Toc19831"/>
      <w:bookmarkStart w:id="246" w:name="_Toc48837306"/>
      <w:bookmarkStart w:id="247" w:name="_Toc22492"/>
      <w:bookmarkStart w:id="248" w:name="_Toc626"/>
      <w:bookmarkStart w:id="249" w:name="_Toc29690"/>
      <w:bookmarkStart w:id="250" w:name="_Toc29208"/>
      <w:r>
        <w:rPr>
          <w:rFonts w:hint="eastAsia"/>
          <w:color w:val="auto"/>
          <w:szCs w:val="22"/>
          <w:highlight w:val="none"/>
          <w:lang w:eastAsia="zh-CN"/>
        </w:rPr>
        <w:t>第三篇</w:t>
      </w:r>
      <w:r>
        <w:rPr>
          <w:rFonts w:hint="eastAsia"/>
          <w:color w:val="auto"/>
          <w:szCs w:val="22"/>
          <w:highlight w:val="none"/>
          <w:lang w:val="en-US" w:eastAsia="zh-CN"/>
        </w:rPr>
        <w:t xml:space="preserve">  </w:t>
      </w:r>
      <w:r>
        <w:rPr>
          <w:rFonts w:hint="eastAsia"/>
          <w:color w:val="auto"/>
          <w:szCs w:val="22"/>
          <w:highlight w:val="none"/>
        </w:rPr>
        <w:t>采购商务要求</w:t>
      </w:r>
      <w:bookmarkEnd w:id="217"/>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Start w:id="251" w:name="_Toc10468"/>
      <w:bookmarkStart w:id="252" w:name="_Toc8429"/>
      <w:bookmarkStart w:id="253" w:name="_Toc32120"/>
    </w:p>
    <w:bookmarkEnd w:id="251"/>
    <w:bookmarkEnd w:id="252"/>
    <w:p>
      <w:pPr>
        <w:keepNext w:val="0"/>
        <w:keepLines w:val="0"/>
        <w:pageBreakBefore w:val="0"/>
        <w:widowControl w:val="0"/>
        <w:kinsoku/>
        <w:wordWrap/>
        <w:overflowPunct/>
        <w:topLinePunct w:val="0"/>
        <w:autoSpaceDE/>
        <w:autoSpaceDN/>
        <w:bidi w:val="0"/>
        <w:spacing w:before="156" w:after="156" w:line="520" w:lineRule="exact"/>
        <w:ind w:firstLine="438" w:firstLineChars="200"/>
        <w:jc w:val="left"/>
        <w:textAlignment w:val="auto"/>
        <w:outlineLvl w:val="1"/>
        <w:rPr>
          <w:rFonts w:hint="eastAsia" w:ascii="Times New Roman" w:hAnsi="Times New Roman" w:eastAsia="仿宋" w:cs="宋体"/>
          <w:b/>
          <w:bCs/>
          <w:color w:val="auto"/>
          <w:szCs w:val="28"/>
          <w:highlight w:val="none"/>
        </w:rPr>
      </w:pPr>
      <w:bookmarkStart w:id="254" w:name="_Toc267320049"/>
      <w:bookmarkStart w:id="255" w:name="_Toc8878"/>
      <w:bookmarkStart w:id="256" w:name="_Toc6436"/>
      <w:bookmarkStart w:id="257" w:name="_Toc2924"/>
      <w:bookmarkStart w:id="258" w:name="_Toc7635"/>
      <w:bookmarkStart w:id="259" w:name="_Toc5053"/>
      <w:bookmarkStart w:id="260" w:name="_Toc7535"/>
      <w:bookmarkStart w:id="261" w:name="_Toc22926"/>
      <w:bookmarkStart w:id="262" w:name="_Toc20886"/>
      <w:bookmarkStart w:id="263" w:name="_Toc14117"/>
      <w:bookmarkStart w:id="264" w:name="_Toc7958"/>
      <w:bookmarkStart w:id="265" w:name="_Toc11353"/>
      <w:bookmarkStart w:id="266" w:name="_Toc22767"/>
      <w:bookmarkStart w:id="267" w:name="_Toc7751"/>
      <w:bookmarkStart w:id="268" w:name="_Toc29902"/>
      <w:bookmarkStart w:id="269" w:name="_Toc10172"/>
      <w:bookmarkStart w:id="270" w:name="_Toc17129"/>
      <w:bookmarkStart w:id="271" w:name="_Toc27725"/>
      <w:bookmarkStart w:id="272" w:name="_Toc26454"/>
      <w:bookmarkStart w:id="273" w:name="_Toc28191"/>
      <w:bookmarkStart w:id="274" w:name="_Toc63600420"/>
      <w:bookmarkStart w:id="275" w:name="_Toc9035"/>
      <w:bookmarkStart w:id="276" w:name="_Toc1192"/>
      <w:bookmarkStart w:id="277" w:name="_Toc13963"/>
      <w:bookmarkStart w:id="278" w:name="_Toc30462"/>
      <w:bookmarkStart w:id="279" w:name="_Toc30615"/>
      <w:bookmarkStart w:id="280" w:name="_Toc4758"/>
      <w:bookmarkStart w:id="281" w:name="_Toc14367"/>
      <w:bookmarkStart w:id="282" w:name="_Toc11754"/>
      <w:r>
        <w:rPr>
          <w:rFonts w:hint="eastAsia" w:ascii="Times New Roman" w:hAnsi="Times New Roman" w:eastAsia="仿宋" w:cs="宋体"/>
          <w:b/>
          <w:bCs/>
          <w:color w:val="auto"/>
          <w:szCs w:val="28"/>
          <w:highlight w:val="none"/>
        </w:rPr>
        <w:t>一</w:t>
      </w:r>
      <w:r>
        <w:rPr>
          <w:rFonts w:hint="eastAsia" w:ascii="Times New Roman" w:hAnsi="Times New Roman" w:eastAsia="仿宋" w:cs="宋体"/>
          <w:b/>
          <w:bCs/>
          <w:color w:val="auto"/>
          <w:szCs w:val="28"/>
          <w:highlight w:val="none"/>
          <w:lang w:eastAsia="zh-CN"/>
        </w:rPr>
        <w:t>、</w:t>
      </w:r>
      <w:r>
        <w:rPr>
          <w:rFonts w:hint="eastAsia" w:ascii="Times New Roman" w:hAnsi="Times New Roman" w:eastAsia="仿宋" w:cs="宋体"/>
          <w:b/>
          <w:bCs/>
          <w:color w:val="auto"/>
          <w:szCs w:val="28"/>
          <w:highlight w:val="none"/>
        </w:rPr>
        <w:t>实施时间、地点及验收方式</w:t>
      </w:r>
      <w:bookmarkEnd w:id="254"/>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ascii="Times New Roman" w:hAnsi="Times New Roman" w:eastAsia="方正仿宋_GBK"/>
          <w:color w:val="000000"/>
          <w:szCs w:val="24"/>
          <w:highlight w:val="none"/>
        </w:rPr>
      </w:pPr>
      <w:r>
        <w:rPr>
          <w:rFonts w:ascii="Times New Roman" w:hAnsi="Times New Roman" w:eastAsia="方正仿宋_GBK"/>
          <w:color w:val="000000"/>
          <w:szCs w:val="24"/>
          <w:highlight w:val="none"/>
        </w:rPr>
        <w:t>1. 交货地点：采购人指定地点。</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ascii="Times New Roman" w:hAnsi="Times New Roman" w:eastAsia="方正仿宋_GBK"/>
          <w:color w:val="000000"/>
          <w:szCs w:val="24"/>
          <w:highlight w:val="none"/>
        </w:rPr>
      </w:pPr>
      <w:r>
        <w:rPr>
          <w:rFonts w:ascii="Times New Roman" w:hAnsi="Times New Roman" w:eastAsia="方正仿宋_GBK"/>
          <w:color w:val="000000"/>
          <w:szCs w:val="24"/>
          <w:highlight w:val="none"/>
        </w:rPr>
        <w:t>2. 验收方式</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ascii="Times New Roman" w:hAnsi="Times New Roman" w:eastAsia="方正仿宋_GBK"/>
          <w:color w:val="000000"/>
          <w:szCs w:val="24"/>
          <w:highlight w:val="yellow"/>
        </w:rPr>
      </w:pPr>
      <w:r>
        <w:rPr>
          <w:rFonts w:ascii="Times New Roman" w:hAnsi="Times New Roman" w:eastAsia="方正仿宋_GBK"/>
          <w:color w:val="000000"/>
          <w:szCs w:val="24"/>
          <w:highlight w:val="none"/>
        </w:rPr>
        <w:t>中选供应商在收到重庆市巴南区</w:t>
      </w:r>
      <w:r>
        <w:rPr>
          <w:rFonts w:hint="eastAsia" w:ascii="Times New Roman" w:hAnsi="Times New Roman" w:eastAsia="方正仿宋_GBK"/>
          <w:color w:val="000000"/>
          <w:szCs w:val="24"/>
          <w:highlight w:val="none"/>
        </w:rPr>
        <w:t>第二</w:t>
      </w:r>
      <w:r>
        <w:rPr>
          <w:rFonts w:ascii="Times New Roman" w:hAnsi="Times New Roman" w:eastAsia="方正仿宋_GBK"/>
          <w:color w:val="000000"/>
          <w:szCs w:val="24"/>
          <w:highlight w:val="none"/>
        </w:rPr>
        <w:t>人民医院采购计划后应按计划要求立即组织货源，在规定时间内将货物送到指定地点。重庆市巴南区</w:t>
      </w:r>
      <w:r>
        <w:rPr>
          <w:rFonts w:hint="eastAsia" w:ascii="Times New Roman" w:hAnsi="Times New Roman" w:eastAsia="方正仿宋_GBK"/>
          <w:color w:val="000000"/>
          <w:szCs w:val="24"/>
          <w:highlight w:val="none"/>
        </w:rPr>
        <w:t>第二</w:t>
      </w:r>
      <w:r>
        <w:rPr>
          <w:rFonts w:ascii="Times New Roman" w:hAnsi="Times New Roman" w:eastAsia="方正仿宋_GBK"/>
          <w:color w:val="000000"/>
          <w:szCs w:val="24"/>
          <w:highlight w:val="none"/>
        </w:rPr>
        <w:t>人民医院根据采购计划内容进行当面验收，双方当事人在随货同行验收单上签字确认</w:t>
      </w:r>
      <w:r>
        <w:rPr>
          <w:rFonts w:hint="eastAsia"/>
          <w:color w:val="000000"/>
          <w:szCs w:val="24"/>
          <w:highlight w:val="none"/>
          <w:lang w:eastAsia="zh-CN"/>
        </w:rPr>
        <w:t>。验收时出具生产厂家有效的《食品生产许可证》、《食品生产许可品种明细表》</w:t>
      </w:r>
      <w:r>
        <w:rPr>
          <w:rFonts w:ascii="Times New Roman" w:hAnsi="Times New Roman" w:eastAsia="方正仿宋_GBK"/>
          <w:color w:val="000000"/>
          <w:szCs w:val="24"/>
          <w:highlight w:val="none"/>
        </w:rPr>
        <w:t>。</w:t>
      </w:r>
    </w:p>
    <w:p>
      <w:pPr>
        <w:keepNext w:val="0"/>
        <w:keepLines w:val="0"/>
        <w:pageBreakBefore w:val="0"/>
        <w:widowControl w:val="0"/>
        <w:kinsoku/>
        <w:wordWrap/>
        <w:overflowPunct/>
        <w:topLinePunct w:val="0"/>
        <w:autoSpaceDE/>
        <w:autoSpaceDN/>
        <w:bidi w:val="0"/>
        <w:spacing w:before="156" w:after="156" w:line="520" w:lineRule="exact"/>
        <w:ind w:firstLine="438" w:firstLineChars="200"/>
        <w:jc w:val="left"/>
        <w:textAlignment w:val="auto"/>
        <w:outlineLvl w:val="1"/>
        <w:rPr>
          <w:rFonts w:hint="eastAsia" w:ascii="Times New Roman" w:hAnsi="Times New Roman" w:eastAsia="仿宋" w:cs="宋体"/>
          <w:b/>
          <w:bCs/>
          <w:color w:val="auto"/>
          <w:szCs w:val="28"/>
          <w:highlight w:val="none"/>
        </w:rPr>
      </w:pPr>
      <w:bookmarkStart w:id="283" w:name="_Toc267320050"/>
      <w:r>
        <w:rPr>
          <w:rFonts w:hint="eastAsia" w:ascii="Times New Roman" w:hAnsi="Times New Roman" w:eastAsia="仿宋" w:cs="宋体"/>
          <w:b/>
          <w:bCs/>
          <w:color w:val="auto"/>
          <w:szCs w:val="28"/>
          <w:highlight w:val="none"/>
        </w:rPr>
        <w:t>二</w:t>
      </w:r>
      <w:bookmarkEnd w:id="283"/>
      <w:r>
        <w:rPr>
          <w:rFonts w:hint="eastAsia" w:ascii="Times New Roman" w:hAnsi="Times New Roman" w:eastAsia="仿宋" w:cs="宋体"/>
          <w:b/>
          <w:bCs/>
          <w:color w:val="auto"/>
          <w:szCs w:val="28"/>
          <w:highlight w:val="none"/>
          <w:lang w:eastAsia="zh-CN"/>
        </w:rPr>
        <w:t>、</w:t>
      </w:r>
      <w:r>
        <w:rPr>
          <w:rFonts w:hint="eastAsia" w:ascii="Times New Roman" w:hAnsi="Times New Roman" w:eastAsia="仿宋" w:cs="宋体"/>
          <w:b/>
          <w:bCs/>
          <w:color w:val="auto"/>
          <w:szCs w:val="28"/>
          <w:highlight w:val="none"/>
        </w:rPr>
        <w:t>采购人要求中选供应商的最低服务承诺：</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hint="default" w:ascii="Times New Roman" w:hAnsi="Times New Roman" w:eastAsia="方正仿宋_GBK"/>
          <w:color w:val="000000"/>
          <w:szCs w:val="24"/>
          <w:highlight w:val="none"/>
          <w:lang w:val="en-US" w:eastAsia="zh-CN"/>
        </w:rPr>
      </w:pPr>
      <w:r>
        <w:rPr>
          <w:rFonts w:hint="eastAsia" w:ascii="Times New Roman" w:hAnsi="Times New Roman" w:eastAsia="方正仿宋_GBK"/>
          <w:color w:val="000000"/>
          <w:szCs w:val="24"/>
          <w:highlight w:val="none"/>
          <w:lang w:val="en-US" w:eastAsia="zh-CN"/>
        </w:rPr>
        <w:t>1.产品服务及配送服务</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ascii="Times New Roman" w:hAnsi="Times New Roman" w:eastAsia="方正仿宋_GBK"/>
          <w:color w:val="000000"/>
          <w:szCs w:val="24"/>
          <w:highlight w:val="none"/>
        </w:rPr>
      </w:pPr>
      <w:r>
        <w:rPr>
          <w:rFonts w:hint="eastAsia" w:ascii="Times New Roman" w:hAnsi="Times New Roman" w:eastAsia="方正仿宋_GBK"/>
          <w:color w:val="000000"/>
          <w:szCs w:val="24"/>
          <w:highlight w:val="none"/>
          <w:lang w:val="en-US" w:eastAsia="zh-CN"/>
        </w:rPr>
        <w:t>①</w:t>
      </w:r>
      <w:r>
        <w:rPr>
          <w:rFonts w:hint="eastAsia" w:ascii="Times New Roman" w:hAnsi="Times New Roman" w:eastAsia="方正仿宋_GBK"/>
          <w:color w:val="000000"/>
          <w:szCs w:val="24"/>
          <w:highlight w:val="none"/>
          <w:lang w:eastAsia="zh-CN"/>
        </w:rPr>
        <w:t>肠内营养制剂</w:t>
      </w:r>
      <w:r>
        <w:rPr>
          <w:rFonts w:ascii="Times New Roman" w:hAnsi="Times New Roman" w:eastAsia="方正仿宋_GBK"/>
          <w:color w:val="000000"/>
          <w:szCs w:val="24"/>
          <w:highlight w:val="none"/>
        </w:rPr>
        <w:t>配送率和及时性：中选供应商所配送货物必须100%地满足医院计划要求。在医院计划发出后，中选供应商原则上在</w:t>
      </w:r>
      <w:r>
        <w:rPr>
          <w:rFonts w:hint="eastAsia" w:ascii="Times New Roman" w:hAnsi="Times New Roman" w:eastAsia="方正仿宋_GBK"/>
          <w:color w:val="000000"/>
          <w:szCs w:val="24"/>
          <w:highlight w:val="none"/>
          <w:lang w:val="en-US" w:eastAsia="zh-CN"/>
        </w:rPr>
        <w:t>3个工作日</w:t>
      </w:r>
      <w:r>
        <w:rPr>
          <w:rFonts w:ascii="Times New Roman" w:hAnsi="Times New Roman" w:eastAsia="方正仿宋_GBK"/>
          <w:color w:val="000000"/>
          <w:szCs w:val="24"/>
          <w:highlight w:val="none"/>
        </w:rPr>
        <w:t>内将货物送到指定地点。若中选供应商在与重庆市巴南区</w:t>
      </w:r>
      <w:r>
        <w:rPr>
          <w:rFonts w:hint="eastAsia" w:ascii="Times New Roman" w:hAnsi="Times New Roman" w:eastAsia="方正仿宋_GBK"/>
          <w:color w:val="000000"/>
          <w:szCs w:val="24"/>
          <w:highlight w:val="none"/>
        </w:rPr>
        <w:t>第二</w:t>
      </w:r>
      <w:r>
        <w:rPr>
          <w:rFonts w:ascii="Times New Roman" w:hAnsi="Times New Roman" w:eastAsia="方正仿宋_GBK"/>
          <w:color w:val="000000"/>
          <w:szCs w:val="24"/>
          <w:highlight w:val="none"/>
        </w:rPr>
        <w:t>人民医院合作期间累计三次未在规定时间内将货物送达指定的地点，采购人有权单方面终止采购合同。</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ascii="Times New Roman" w:hAnsi="Times New Roman" w:eastAsia="方正仿宋_GBK"/>
          <w:color w:val="000000"/>
          <w:szCs w:val="24"/>
          <w:highlight w:val="none"/>
        </w:rPr>
      </w:pPr>
      <w:r>
        <w:rPr>
          <w:rFonts w:hint="eastAsia" w:ascii="Times New Roman" w:hAnsi="Times New Roman" w:eastAsia="方正仿宋_GBK"/>
          <w:color w:val="000000"/>
          <w:szCs w:val="24"/>
          <w:highlight w:val="none"/>
          <w:lang w:val="en-US" w:eastAsia="zh-CN"/>
        </w:rPr>
        <w:t>②</w:t>
      </w:r>
      <w:r>
        <w:rPr>
          <w:rFonts w:ascii="Times New Roman" w:hAnsi="Times New Roman" w:eastAsia="方正仿宋_GBK"/>
          <w:color w:val="000000"/>
          <w:szCs w:val="24"/>
          <w:highlight w:val="none"/>
        </w:rPr>
        <w:t>.</w:t>
      </w:r>
      <w:r>
        <w:rPr>
          <w:rFonts w:hint="eastAsia" w:ascii="Times New Roman" w:hAnsi="Times New Roman" w:eastAsia="方正仿宋_GBK"/>
          <w:color w:val="000000"/>
          <w:szCs w:val="24"/>
          <w:highlight w:val="none"/>
          <w:lang w:eastAsia="zh-CN"/>
        </w:rPr>
        <w:t>肠内营养制剂</w:t>
      </w:r>
      <w:r>
        <w:rPr>
          <w:rFonts w:ascii="Times New Roman" w:hAnsi="Times New Roman" w:eastAsia="方正仿宋_GBK"/>
          <w:color w:val="000000"/>
          <w:szCs w:val="24"/>
          <w:highlight w:val="none"/>
        </w:rPr>
        <w:t>的质量保证期不得低于国家规定的质保期。采购人有权对中选供应商配送的产品进行抽样送检，供应商承担相关费用；供应商有责任和义务接受群众对其配送产品的监督质疑，医院有对群众监督质疑的产品送主管部门检查的责任和义务。一旦证实供应商配送有假冒劣质产品，医院将终止与该供应商的合同，并将该供应商列入黑名单，医院将不再与其合作，同时对触犯刑律的移送司法机关处理。</w:t>
      </w:r>
    </w:p>
    <w:p>
      <w:pPr>
        <w:keepNext w:val="0"/>
        <w:keepLines w:val="0"/>
        <w:pageBreakBefore w:val="0"/>
        <w:widowControl w:val="0"/>
        <w:kinsoku/>
        <w:wordWrap/>
        <w:overflowPunct/>
        <w:topLinePunct w:val="0"/>
        <w:autoSpaceDE/>
        <w:autoSpaceDN/>
        <w:bidi w:val="0"/>
        <w:spacing w:line="520" w:lineRule="exact"/>
        <w:ind w:firstLine="438" w:firstLineChars="200"/>
        <w:textAlignment w:val="auto"/>
        <w:rPr>
          <w:rFonts w:ascii="Times New Roman" w:hAnsi="Times New Roman" w:eastAsia="方正仿宋_GBK"/>
          <w:color w:val="000000"/>
          <w:szCs w:val="24"/>
          <w:highlight w:val="none"/>
        </w:rPr>
      </w:pPr>
      <w:r>
        <w:rPr>
          <w:rFonts w:hint="eastAsia" w:ascii="Times New Roman" w:hAnsi="Times New Roman" w:eastAsia="方正仿宋_GBK"/>
          <w:color w:val="000000"/>
          <w:szCs w:val="24"/>
          <w:highlight w:val="none"/>
          <w:lang w:val="en-US" w:eastAsia="zh-CN"/>
        </w:rPr>
        <w:t>③</w:t>
      </w:r>
      <w:r>
        <w:rPr>
          <w:rFonts w:ascii="Times New Roman" w:hAnsi="Times New Roman" w:eastAsia="方正仿宋_GBK"/>
          <w:color w:val="000000"/>
          <w:szCs w:val="24"/>
          <w:highlight w:val="none"/>
        </w:rPr>
        <w:t>供应商应按合同要求向采购人配送</w:t>
      </w:r>
      <w:r>
        <w:rPr>
          <w:rFonts w:hint="eastAsia" w:ascii="Times New Roman" w:hAnsi="Times New Roman" w:eastAsia="方正仿宋_GBK"/>
          <w:color w:val="000000"/>
          <w:szCs w:val="24"/>
          <w:highlight w:val="none"/>
          <w:lang w:eastAsia="zh-CN"/>
        </w:rPr>
        <w:t>肠内营养制剂</w:t>
      </w:r>
      <w:r>
        <w:rPr>
          <w:rFonts w:ascii="Times New Roman" w:hAnsi="Times New Roman" w:eastAsia="方正仿宋_GBK"/>
          <w:color w:val="000000"/>
          <w:szCs w:val="24"/>
          <w:highlight w:val="none"/>
        </w:rPr>
        <w:t>，如遇特殊情况时须征得采购人书面同意。</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ascii="Times New Roman" w:hAnsi="Times New Roman" w:eastAsia="方正仿宋_GBK"/>
          <w:color w:val="000000"/>
          <w:szCs w:val="24"/>
          <w:highlight w:val="none"/>
        </w:rPr>
      </w:pPr>
      <w:r>
        <w:rPr>
          <w:rFonts w:hint="eastAsia" w:ascii="Times New Roman" w:hAnsi="Times New Roman" w:eastAsia="方正仿宋_GBK"/>
          <w:color w:val="000000"/>
          <w:szCs w:val="24"/>
          <w:highlight w:val="none"/>
          <w:lang w:val="en-US" w:eastAsia="zh-CN"/>
        </w:rPr>
        <w:t>④</w:t>
      </w:r>
      <w:r>
        <w:rPr>
          <w:rFonts w:ascii="Times New Roman" w:hAnsi="Times New Roman" w:eastAsia="方正仿宋_GBK"/>
          <w:color w:val="000000"/>
          <w:szCs w:val="24"/>
          <w:highlight w:val="none"/>
        </w:rPr>
        <w:t>供应商在送货时所派人员的交通、食宿等一切费用均自行承担。</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ascii="Times New Roman" w:hAnsi="Times New Roman" w:eastAsia="方正仿宋_GBK"/>
          <w:color w:val="000000"/>
          <w:szCs w:val="24"/>
          <w:highlight w:val="none"/>
        </w:rPr>
      </w:pPr>
      <w:r>
        <w:rPr>
          <w:rFonts w:hint="eastAsia" w:ascii="Times New Roman" w:hAnsi="Times New Roman" w:eastAsia="方正仿宋_GBK"/>
          <w:color w:val="000000"/>
          <w:szCs w:val="24"/>
          <w:highlight w:val="none"/>
          <w:lang w:val="en-US" w:eastAsia="zh-CN"/>
        </w:rPr>
        <w:t>⑤</w:t>
      </w:r>
      <w:r>
        <w:rPr>
          <w:rFonts w:ascii="Times New Roman" w:hAnsi="Times New Roman" w:eastAsia="方正仿宋_GBK"/>
          <w:color w:val="000000"/>
          <w:szCs w:val="24"/>
          <w:highlight w:val="none"/>
        </w:rPr>
        <w:t>供应商应对所售产品在质保期内出现问题的，免费进行更换。</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ascii="Times New Roman" w:hAnsi="Times New Roman" w:eastAsia="方正仿宋_GBK"/>
          <w:color w:val="000000"/>
          <w:szCs w:val="24"/>
          <w:highlight w:val="none"/>
        </w:rPr>
      </w:pPr>
      <w:r>
        <w:rPr>
          <w:rFonts w:hint="eastAsia" w:ascii="Times New Roman" w:hAnsi="Times New Roman" w:eastAsia="方正仿宋_GBK"/>
          <w:color w:val="000000"/>
          <w:szCs w:val="24"/>
          <w:highlight w:val="none"/>
          <w:lang w:val="en-US" w:eastAsia="zh-CN"/>
        </w:rPr>
        <w:t>⑥</w:t>
      </w:r>
      <w:r>
        <w:rPr>
          <w:rFonts w:ascii="Times New Roman" w:hAnsi="Times New Roman" w:eastAsia="方正仿宋_GBK"/>
          <w:color w:val="000000"/>
          <w:szCs w:val="24"/>
          <w:highlight w:val="none"/>
        </w:rPr>
        <w:t>在供货合同有效期内，供应商必须指派一名专职业务人员负责与采购人对口联系相关事宜，如联系人或联系方式有更改，必须提前一周以书面形式通知采购人。</w:t>
      </w:r>
    </w:p>
    <w:p>
      <w:pPr>
        <w:pStyle w:val="12"/>
        <w:keepNext w:val="0"/>
        <w:keepLines w:val="0"/>
        <w:pageBreakBefore w:val="0"/>
        <w:widowControl w:val="0"/>
        <w:kinsoku/>
        <w:wordWrap/>
        <w:overflowPunct/>
        <w:topLinePunct w:val="0"/>
        <w:autoSpaceDE/>
        <w:autoSpaceDN/>
        <w:bidi w:val="0"/>
        <w:spacing w:line="520" w:lineRule="exact"/>
        <w:ind w:firstLine="438" w:firstLineChars="200"/>
        <w:textAlignment w:val="auto"/>
        <w:rPr>
          <w:rFonts w:hint="default" w:ascii="Times New Roman" w:hAnsi="Times New Roman" w:eastAsia="方正仿宋_GBK"/>
          <w:color w:val="000000"/>
          <w:sz w:val="24"/>
          <w:szCs w:val="24"/>
          <w:highlight w:val="none"/>
        </w:rPr>
      </w:pPr>
      <w:r>
        <w:rPr>
          <w:rFonts w:hint="eastAsia" w:ascii="Times New Roman" w:hAnsi="Times New Roman" w:eastAsia="方正仿宋_GBK"/>
          <w:color w:val="000000"/>
          <w:sz w:val="24"/>
          <w:szCs w:val="24"/>
          <w:highlight w:val="none"/>
          <w:lang w:val="en-US" w:eastAsia="zh-CN"/>
        </w:rPr>
        <w:t>⑦</w:t>
      </w:r>
      <w:r>
        <w:rPr>
          <w:rFonts w:hint="default" w:ascii="Times New Roman" w:hAnsi="Times New Roman" w:eastAsia="方正仿宋_GBK"/>
          <w:color w:val="000000"/>
          <w:sz w:val="24"/>
          <w:szCs w:val="24"/>
          <w:highlight w:val="none"/>
        </w:rPr>
        <w:t>如供应商可以提供更优的服务解决方案，经双方同意，则以供应商提供的方案为准。</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ascii="Times New Roman" w:hAnsi="Times New Roman" w:eastAsia="方正仿宋_GBK"/>
          <w:color w:val="000000"/>
          <w:szCs w:val="24"/>
          <w:highlight w:val="none"/>
        </w:rPr>
      </w:pPr>
      <w:r>
        <w:rPr>
          <w:rFonts w:hint="eastAsia" w:ascii="Times New Roman" w:hAnsi="Times New Roman" w:eastAsia="方正仿宋_GBK"/>
          <w:color w:val="000000"/>
          <w:szCs w:val="24"/>
          <w:highlight w:val="none"/>
          <w:lang w:val="en-US" w:eastAsia="zh-CN"/>
        </w:rPr>
        <w:t>⑧</w:t>
      </w:r>
      <w:r>
        <w:rPr>
          <w:rFonts w:ascii="Times New Roman" w:hAnsi="Times New Roman" w:eastAsia="方正仿宋_GBK"/>
          <w:color w:val="000000"/>
          <w:szCs w:val="24"/>
          <w:highlight w:val="none"/>
        </w:rPr>
        <w:t>提交自愿提供食品配送延伸服务承诺书。</w:t>
      </w:r>
    </w:p>
    <w:p>
      <w:pPr>
        <w:pStyle w:val="7"/>
        <w:keepNext w:val="0"/>
        <w:keepLines w:val="0"/>
        <w:pageBreakBefore w:val="0"/>
        <w:widowControl w:val="0"/>
        <w:kinsoku/>
        <w:wordWrap/>
        <w:overflowPunct/>
        <w:topLinePunct w:val="0"/>
        <w:autoSpaceDE/>
        <w:autoSpaceDN/>
        <w:bidi w:val="0"/>
        <w:spacing w:after="0" w:line="520" w:lineRule="exact"/>
        <w:ind w:firstLine="437"/>
        <w:textAlignment w:val="auto"/>
        <w:rPr>
          <w:color w:val="FF0000"/>
          <w:highlight w:val="none"/>
        </w:rPr>
      </w:pPr>
      <w:r>
        <w:rPr>
          <w:rFonts w:hint="eastAsia" w:ascii="Times New Roman" w:hAnsi="Times New Roman" w:eastAsia="方正仿宋_GBK"/>
          <w:color w:val="000000"/>
          <w:szCs w:val="24"/>
          <w:highlight w:val="none"/>
          <w:lang w:val="en-US" w:eastAsia="zh-CN"/>
        </w:rPr>
        <w:t>⑨</w:t>
      </w:r>
      <w:r>
        <w:rPr>
          <w:rFonts w:ascii="Times New Roman" w:hAnsi="Times New Roman" w:eastAsia="方正仿宋_GBK"/>
          <w:color w:val="000000"/>
          <w:szCs w:val="24"/>
          <w:highlight w:val="none"/>
        </w:rPr>
        <w:t>合同期限为至合同生效之日起三年。</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hint="default" w:ascii="Times New Roman" w:hAnsi="Times New Roman" w:eastAsia="方正仿宋_GBK" w:cs="Times New Roman"/>
          <w:color w:val="000000"/>
          <w:szCs w:val="24"/>
          <w:highlight w:val="none"/>
          <w:lang w:val="en-US" w:eastAsia="zh-CN"/>
        </w:rPr>
      </w:pPr>
      <w:r>
        <w:rPr>
          <w:rFonts w:hint="eastAsia" w:ascii="Times New Roman" w:hAnsi="Times New Roman" w:eastAsia="方正仿宋_GBK" w:cs="Times New Roman"/>
          <w:color w:val="000000"/>
          <w:szCs w:val="24"/>
          <w:highlight w:val="none"/>
          <w:lang w:val="en-US" w:eastAsia="zh-CN"/>
        </w:rPr>
        <w:t>2.科室建设服务</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hint="eastAsia" w:ascii="Times New Roman" w:hAnsi="Times New Roman" w:eastAsia="方正仿宋_GBK" w:cs="Times New Roman"/>
          <w:color w:val="000000"/>
          <w:szCs w:val="24"/>
          <w:highlight w:val="none"/>
          <w:lang w:val="en-US" w:eastAsia="zh-CN"/>
        </w:rPr>
      </w:pPr>
      <w:r>
        <w:rPr>
          <w:rFonts w:hint="eastAsia" w:ascii="Times New Roman" w:hAnsi="Times New Roman" w:eastAsia="方正仿宋_GBK" w:cs="Times New Roman"/>
          <w:color w:val="000000"/>
          <w:szCs w:val="24"/>
          <w:highlight w:val="none"/>
          <w:lang w:val="en-US" w:eastAsia="zh-CN"/>
        </w:rPr>
        <w:t>供应商负责提供临床营养科的整体建设服务，包括但不限于信息化建设、科室场地基础设施设备建设、科室整体诊疗流程、医嘱收费路径建设及临床营养学科发展建设等方面内容。</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hint="eastAsia" w:ascii="Times New Roman" w:hAnsi="Times New Roman" w:eastAsia="方正仿宋_GBK" w:cs="Times New Roman"/>
          <w:color w:val="000000"/>
          <w:szCs w:val="24"/>
          <w:highlight w:val="none"/>
          <w:lang w:val="en-US" w:eastAsia="zh-CN"/>
        </w:rPr>
      </w:pPr>
      <w:r>
        <w:rPr>
          <w:rFonts w:hint="eastAsia" w:ascii="Times New Roman" w:hAnsi="Times New Roman" w:eastAsia="方正仿宋_GBK" w:cs="Times New Roman"/>
          <w:color w:val="000000"/>
          <w:szCs w:val="24"/>
          <w:highlight w:val="none"/>
          <w:lang w:val="en-US" w:eastAsia="zh-CN"/>
        </w:rPr>
        <w:t>3.协助运营服务</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hint="eastAsia" w:ascii="Times New Roman" w:hAnsi="Times New Roman" w:eastAsia="方正仿宋_GBK" w:cs="Times New Roman"/>
          <w:color w:val="000000"/>
          <w:szCs w:val="24"/>
          <w:highlight w:val="none"/>
          <w:lang w:val="en-US" w:eastAsia="zh-CN"/>
        </w:rPr>
      </w:pPr>
      <w:r>
        <w:rPr>
          <w:rFonts w:hint="eastAsia" w:ascii="Times New Roman" w:hAnsi="Times New Roman" w:eastAsia="方正仿宋_GBK" w:cs="Times New Roman"/>
          <w:color w:val="000000"/>
          <w:szCs w:val="24"/>
          <w:highlight w:val="none"/>
          <w:lang w:val="en-US" w:eastAsia="zh-CN"/>
        </w:rPr>
        <w:t>①供应商应提供临床营养科的整体运营服务方案的建议，包括业务培训、专业指导等内容。</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hint="eastAsia" w:ascii="Times New Roman" w:hAnsi="Times New Roman" w:eastAsia="方正仿宋_GBK" w:cs="Times New Roman"/>
          <w:color w:val="000000"/>
          <w:szCs w:val="24"/>
          <w:highlight w:val="none"/>
          <w:lang w:val="en-US" w:eastAsia="zh-CN"/>
        </w:rPr>
      </w:pPr>
      <w:r>
        <w:rPr>
          <w:rFonts w:hint="eastAsia" w:ascii="Times New Roman" w:hAnsi="Times New Roman" w:eastAsia="方正仿宋_GBK" w:cs="Times New Roman"/>
          <w:color w:val="000000"/>
          <w:szCs w:val="24"/>
          <w:highlight w:val="none"/>
          <w:lang w:val="en-US" w:eastAsia="zh-CN"/>
        </w:rPr>
        <w:t>②供应商应组建运营团队，协助医院落地实施临床营养科的运营方案。团队中须包含至少1名持证的临床营养师作为专业培训及指导人员。</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hint="default"/>
          <w:color w:val="000000"/>
          <w:highlight w:val="none"/>
          <w:lang w:val="en-US" w:eastAsia="zh-CN"/>
        </w:rPr>
      </w:pPr>
      <w:r>
        <w:rPr>
          <w:rFonts w:hint="eastAsia" w:ascii="Times New Roman" w:hAnsi="Times New Roman" w:eastAsia="方正仿宋_GBK" w:cs="Times New Roman"/>
          <w:color w:val="000000"/>
          <w:szCs w:val="24"/>
          <w:highlight w:val="none"/>
          <w:lang w:val="en-US" w:eastAsia="zh-CN"/>
        </w:rPr>
        <w:t>4.其他关于临床营养科建设及发展的延申服务</w:t>
      </w:r>
    </w:p>
    <w:p>
      <w:pPr>
        <w:keepNext w:val="0"/>
        <w:keepLines w:val="0"/>
        <w:pageBreakBefore w:val="0"/>
        <w:widowControl w:val="0"/>
        <w:kinsoku/>
        <w:wordWrap/>
        <w:overflowPunct/>
        <w:topLinePunct w:val="0"/>
        <w:autoSpaceDE/>
        <w:autoSpaceDN/>
        <w:bidi w:val="0"/>
        <w:spacing w:before="156" w:after="156" w:line="520" w:lineRule="exact"/>
        <w:ind w:firstLine="438" w:firstLineChars="200"/>
        <w:jc w:val="left"/>
        <w:textAlignment w:val="auto"/>
        <w:outlineLvl w:val="1"/>
        <w:rPr>
          <w:rFonts w:hint="eastAsia" w:ascii="Times New Roman" w:hAnsi="Times New Roman" w:eastAsia="仿宋" w:cs="宋体"/>
          <w:b/>
          <w:bCs/>
          <w:color w:val="auto"/>
          <w:szCs w:val="28"/>
          <w:highlight w:val="none"/>
        </w:rPr>
      </w:pPr>
      <w:bookmarkStart w:id="284" w:name="_Toc267320051"/>
      <w:r>
        <w:rPr>
          <w:rFonts w:hint="eastAsia" w:ascii="Times New Roman" w:hAnsi="Times New Roman" w:eastAsia="仿宋" w:cs="宋体"/>
          <w:b/>
          <w:bCs/>
          <w:color w:val="auto"/>
          <w:szCs w:val="28"/>
          <w:highlight w:val="none"/>
        </w:rPr>
        <w:t>三</w:t>
      </w:r>
      <w:r>
        <w:rPr>
          <w:rFonts w:hint="eastAsia" w:ascii="Times New Roman" w:hAnsi="Times New Roman" w:eastAsia="仿宋" w:cs="宋体"/>
          <w:b/>
          <w:bCs/>
          <w:color w:val="auto"/>
          <w:szCs w:val="28"/>
          <w:highlight w:val="none"/>
          <w:lang w:eastAsia="zh-CN"/>
        </w:rPr>
        <w:t>、</w:t>
      </w:r>
      <w:r>
        <w:rPr>
          <w:rFonts w:hint="eastAsia" w:ascii="Times New Roman" w:hAnsi="Times New Roman" w:eastAsia="仿宋" w:cs="宋体"/>
          <w:b/>
          <w:bCs/>
          <w:color w:val="auto"/>
          <w:szCs w:val="28"/>
          <w:highlight w:val="none"/>
        </w:rPr>
        <w:t>付款方式</w:t>
      </w:r>
      <w:bookmarkEnd w:id="284"/>
    </w:p>
    <w:p>
      <w:pPr>
        <w:keepNext w:val="0"/>
        <w:keepLines w:val="0"/>
        <w:pageBreakBefore w:val="0"/>
        <w:widowControl w:val="0"/>
        <w:tabs>
          <w:tab w:val="left" w:pos="1255"/>
          <w:tab w:val="left" w:pos="1506"/>
        </w:tabs>
        <w:kinsoku/>
        <w:wordWrap/>
        <w:overflowPunct/>
        <w:topLinePunct w:val="0"/>
        <w:autoSpaceDE/>
        <w:autoSpaceDN/>
        <w:bidi w:val="0"/>
        <w:snapToGrid w:val="0"/>
        <w:spacing w:line="520" w:lineRule="exact"/>
        <w:ind w:firstLine="438" w:firstLineChars="200"/>
        <w:textAlignment w:val="auto"/>
        <w:rPr>
          <w:rFonts w:ascii="Times New Roman" w:hAnsi="Times New Roman" w:eastAsia="方正仿宋_GBK" w:cs="Times New Roman"/>
          <w:color w:val="000000"/>
          <w:szCs w:val="24"/>
          <w:highlight w:val="none"/>
        </w:rPr>
      </w:pPr>
      <w:bookmarkStart w:id="285" w:name="_Toc267320052"/>
      <w:r>
        <w:rPr>
          <w:rFonts w:ascii="Times New Roman" w:hAnsi="Times New Roman" w:eastAsia="方正仿宋_GBK" w:cs="Times New Roman"/>
          <w:color w:val="000000"/>
          <w:szCs w:val="24"/>
          <w:highlight w:val="none"/>
        </w:rPr>
        <w:t>1.供应商必须按重庆市巴南区</w:t>
      </w:r>
      <w:r>
        <w:rPr>
          <w:rFonts w:hint="eastAsia" w:ascii="Times New Roman" w:hAnsi="Times New Roman" w:eastAsia="方正仿宋_GBK" w:cs="Times New Roman"/>
          <w:color w:val="000000"/>
          <w:szCs w:val="24"/>
          <w:highlight w:val="none"/>
        </w:rPr>
        <w:t>第二</w:t>
      </w:r>
      <w:r>
        <w:rPr>
          <w:rFonts w:ascii="Times New Roman" w:hAnsi="Times New Roman" w:eastAsia="方正仿宋_GBK" w:cs="Times New Roman"/>
          <w:color w:val="000000"/>
          <w:szCs w:val="24"/>
          <w:highlight w:val="none"/>
        </w:rPr>
        <w:t>人民医院签字认可的交货验收单开具发票；</w:t>
      </w:r>
    </w:p>
    <w:p>
      <w:pPr>
        <w:keepNext w:val="0"/>
        <w:keepLines w:val="0"/>
        <w:pageBreakBefore w:val="0"/>
        <w:widowControl w:val="0"/>
        <w:tabs>
          <w:tab w:val="left" w:pos="1255"/>
          <w:tab w:val="left" w:pos="1506"/>
        </w:tabs>
        <w:kinsoku/>
        <w:wordWrap/>
        <w:overflowPunct/>
        <w:topLinePunct w:val="0"/>
        <w:autoSpaceDE/>
        <w:autoSpaceDN/>
        <w:bidi w:val="0"/>
        <w:snapToGrid w:val="0"/>
        <w:spacing w:line="520" w:lineRule="exact"/>
        <w:ind w:firstLine="438" w:firstLineChars="200"/>
        <w:textAlignment w:val="auto"/>
        <w:rPr>
          <w:rFonts w:ascii="Times New Roman" w:hAnsi="Times New Roman" w:eastAsia="方正仿宋_GBK"/>
          <w:color w:val="000000"/>
          <w:szCs w:val="24"/>
          <w:highlight w:val="none"/>
        </w:rPr>
      </w:pPr>
      <w:r>
        <w:rPr>
          <w:rFonts w:ascii="Times New Roman" w:hAnsi="Times New Roman" w:eastAsia="方正仿宋_GBK" w:cs="Times New Roman"/>
          <w:color w:val="000000"/>
          <w:szCs w:val="24"/>
          <w:highlight w:val="none"/>
        </w:rPr>
        <w:t>2.</w:t>
      </w:r>
      <w:r>
        <w:rPr>
          <w:rFonts w:hint="eastAsia" w:ascii="Times New Roman" w:hAnsi="Times New Roman" w:eastAsia="方正仿宋_GBK" w:cs="Times New Roman"/>
          <w:color w:val="000000"/>
          <w:szCs w:val="24"/>
          <w:highlight w:val="none"/>
        </w:rPr>
        <w:t>采购人</w:t>
      </w:r>
      <w:r>
        <w:rPr>
          <w:rFonts w:hint="eastAsia" w:ascii="Times New Roman" w:hAnsi="Times New Roman" w:eastAsia="方正仿宋_GBK" w:cs="Times New Roman"/>
          <w:color w:val="000000"/>
          <w:szCs w:val="24"/>
          <w:highlight w:val="none"/>
          <w:lang w:val="en-US" w:eastAsia="zh-CN"/>
        </w:rPr>
        <w:t>每月</w:t>
      </w:r>
      <w:r>
        <w:rPr>
          <w:rFonts w:hint="eastAsia" w:ascii="Times New Roman" w:hAnsi="Times New Roman" w:eastAsia="方正仿宋_GBK" w:cs="Times New Roman"/>
          <w:color w:val="000000"/>
          <w:szCs w:val="24"/>
          <w:highlight w:val="none"/>
        </w:rPr>
        <w:t>根据实际供货数量以及供应商最终响应的服务产品单价与供应商结算。供应商在</w:t>
      </w:r>
      <w:r>
        <w:rPr>
          <w:rFonts w:hint="eastAsia" w:ascii="Times New Roman" w:hAnsi="Times New Roman" w:eastAsia="方正仿宋_GBK" w:cs="Times New Roman"/>
          <w:color w:val="000000"/>
          <w:szCs w:val="24"/>
          <w:highlight w:val="none"/>
          <w:lang w:val="en-US" w:eastAsia="zh-CN"/>
        </w:rPr>
        <w:t>每个月</w:t>
      </w:r>
      <w:r>
        <w:rPr>
          <w:rFonts w:hint="eastAsia" w:ascii="Times New Roman" w:hAnsi="Times New Roman" w:eastAsia="方正仿宋_GBK" w:cs="Times New Roman"/>
          <w:color w:val="000000"/>
          <w:szCs w:val="24"/>
          <w:highlight w:val="none"/>
        </w:rPr>
        <w:t>结束后下一个月的5号前向采购人提供对账单（每年12月份的</w:t>
      </w:r>
      <w:r>
        <w:rPr>
          <w:rFonts w:hint="eastAsia" w:ascii="Times New Roman" w:hAnsi="Times New Roman" w:eastAsia="方正仿宋_GBK" w:cs="Times New Roman"/>
          <w:color w:val="000000"/>
          <w:szCs w:val="24"/>
          <w:highlight w:val="none"/>
          <w:lang w:val="en-US" w:eastAsia="zh-CN"/>
        </w:rPr>
        <w:t>采购费</w:t>
      </w:r>
      <w:r>
        <w:rPr>
          <w:rFonts w:hint="eastAsia" w:ascii="Times New Roman" w:hAnsi="Times New Roman" w:eastAsia="方正仿宋_GBK" w:cs="Times New Roman"/>
          <w:color w:val="000000"/>
          <w:szCs w:val="24"/>
          <w:highlight w:val="none"/>
        </w:rPr>
        <w:t>需在财务年度报销截止前一周提供对账单），采购人在收到对账单后15日内完成核对，核对无误后供应商向采购人提供发票及明细盖章件。采购人自收到符合要求的付款材料起</w:t>
      </w:r>
      <w:r>
        <w:rPr>
          <w:rFonts w:hint="eastAsia" w:ascii="Times New Roman" w:hAnsi="Times New Roman" w:eastAsia="方正仿宋_GBK" w:cs="Times New Roman"/>
          <w:color w:val="000000"/>
          <w:szCs w:val="24"/>
          <w:highlight w:val="none"/>
          <w:lang w:val="en-US" w:eastAsia="zh-CN"/>
        </w:rPr>
        <w:t>按月支付</w:t>
      </w:r>
      <w:r>
        <w:rPr>
          <w:rFonts w:hint="eastAsia" w:ascii="Times New Roman" w:hAnsi="Times New Roman" w:eastAsia="方正仿宋_GBK" w:cs="Times New Roman"/>
          <w:color w:val="000000"/>
          <w:szCs w:val="24"/>
          <w:highlight w:val="none"/>
        </w:rPr>
        <w:t>费用。</w:t>
      </w:r>
    </w:p>
    <w:bookmarkEnd w:id="285"/>
    <w:p>
      <w:pPr>
        <w:pStyle w:val="2"/>
        <w:spacing w:before="190" w:after="190"/>
        <w:ind w:firstLine="506"/>
        <w:rPr>
          <w:rFonts w:hint="eastAsia" w:ascii="Times New Roman" w:hAnsi="Times New Roman" w:eastAsia="仿宋" w:cs="宋体"/>
          <w:b/>
          <w:bCs/>
          <w:color w:val="auto"/>
          <w:kern w:val="2"/>
          <w:sz w:val="24"/>
          <w:szCs w:val="28"/>
          <w:highlight w:val="none"/>
          <w:lang w:val="en-US" w:eastAsia="zh-CN" w:bidi="ar-SA"/>
        </w:rPr>
      </w:pPr>
      <w:bookmarkStart w:id="286" w:name="_Toc29302"/>
      <w:bookmarkStart w:id="287" w:name="_Toc267320054"/>
      <w:r>
        <w:rPr>
          <w:rFonts w:hint="eastAsia" w:ascii="Times New Roman" w:hAnsi="Times New Roman" w:eastAsia="仿宋" w:cs="宋体"/>
          <w:b/>
          <w:bCs/>
          <w:color w:val="auto"/>
          <w:kern w:val="2"/>
          <w:sz w:val="24"/>
          <w:szCs w:val="28"/>
          <w:highlight w:val="none"/>
          <w:lang w:val="en-US" w:eastAsia="zh-CN" w:bidi="ar-SA"/>
        </w:rPr>
        <w:t>四、履约保证金</w:t>
      </w:r>
      <w:bookmarkEnd w:id="286"/>
    </w:p>
    <w:p>
      <w:pPr>
        <w:keepNext w:val="0"/>
        <w:keepLines w:val="0"/>
        <w:pageBreakBefore w:val="0"/>
        <w:widowControl w:val="0"/>
        <w:tabs>
          <w:tab w:val="left" w:pos="1255"/>
          <w:tab w:val="left" w:pos="1506"/>
        </w:tabs>
        <w:kinsoku/>
        <w:wordWrap/>
        <w:overflowPunct/>
        <w:topLinePunct w:val="0"/>
        <w:autoSpaceDE/>
        <w:autoSpaceDN/>
        <w:bidi w:val="0"/>
        <w:snapToGrid w:val="0"/>
        <w:spacing w:line="520" w:lineRule="exact"/>
        <w:ind w:firstLine="438" w:firstLineChars="200"/>
        <w:textAlignment w:val="auto"/>
        <w:rPr>
          <w:rFonts w:hint="eastAsia" w:ascii="Times New Roman" w:hAnsi="Times New Roman" w:eastAsia="方正仿宋_GBK" w:cs="Times New Roman"/>
          <w:color w:val="000000"/>
          <w:szCs w:val="24"/>
          <w:highlight w:val="none"/>
        </w:rPr>
      </w:pPr>
      <w:r>
        <w:rPr>
          <w:rFonts w:hint="eastAsia" w:ascii="Times New Roman" w:hAnsi="Times New Roman" w:eastAsia="方正仿宋_GBK" w:cs="Times New Roman"/>
          <w:color w:val="000000"/>
          <w:szCs w:val="24"/>
          <w:highlight w:val="none"/>
        </w:rPr>
        <w:t>成交供应商按照响应文件及有效承诺文件约定事项签订书面合同，在合同签订前缴纳履约保证金。</w:t>
      </w:r>
    </w:p>
    <w:p>
      <w:pPr>
        <w:keepNext w:val="0"/>
        <w:keepLines w:val="0"/>
        <w:pageBreakBefore w:val="0"/>
        <w:widowControl w:val="0"/>
        <w:tabs>
          <w:tab w:val="left" w:pos="1255"/>
          <w:tab w:val="left" w:pos="1506"/>
        </w:tabs>
        <w:kinsoku/>
        <w:wordWrap/>
        <w:overflowPunct/>
        <w:topLinePunct w:val="0"/>
        <w:autoSpaceDE/>
        <w:autoSpaceDN/>
        <w:bidi w:val="0"/>
        <w:snapToGrid w:val="0"/>
        <w:spacing w:line="520" w:lineRule="exact"/>
        <w:ind w:firstLine="438" w:firstLineChars="200"/>
        <w:textAlignment w:val="auto"/>
        <w:rPr>
          <w:rFonts w:hint="eastAsia" w:ascii="Times New Roman" w:hAnsi="Times New Roman" w:eastAsia="方正仿宋_GBK" w:cs="Times New Roman"/>
          <w:color w:val="auto"/>
          <w:szCs w:val="24"/>
          <w:highlight w:val="none"/>
        </w:rPr>
      </w:pPr>
      <w:r>
        <w:rPr>
          <w:rFonts w:hint="eastAsia" w:ascii="Times New Roman" w:hAnsi="Times New Roman" w:eastAsia="方正仿宋_GBK" w:cs="Times New Roman"/>
          <w:color w:val="auto"/>
          <w:szCs w:val="24"/>
          <w:highlight w:val="none"/>
        </w:rPr>
        <w:t>（1）履约保证金金额：</w:t>
      </w:r>
      <w:r>
        <w:rPr>
          <w:rFonts w:hint="eastAsia" w:ascii="Times New Roman" w:hAnsi="Times New Roman" w:eastAsia="方正仿宋_GBK" w:cs="Times New Roman"/>
          <w:color w:val="auto"/>
          <w:szCs w:val="24"/>
          <w:highlight w:val="none"/>
          <w:lang w:eastAsia="zh-CN"/>
        </w:rPr>
        <w:t>￥</w:t>
      </w:r>
      <w:r>
        <w:rPr>
          <w:rFonts w:hint="eastAsia" w:cs="Times New Roman"/>
          <w:color w:val="auto"/>
          <w:szCs w:val="24"/>
          <w:highlight w:val="none"/>
          <w:lang w:val="en-US" w:eastAsia="zh-CN"/>
        </w:rPr>
        <w:t>5</w:t>
      </w:r>
      <w:r>
        <w:rPr>
          <w:rFonts w:hint="eastAsia" w:ascii="Times New Roman" w:hAnsi="Times New Roman" w:eastAsia="方正仿宋_GBK" w:cs="Times New Roman"/>
          <w:color w:val="auto"/>
          <w:szCs w:val="24"/>
          <w:highlight w:val="none"/>
          <w:lang w:val="en-US" w:eastAsia="zh-CN"/>
        </w:rPr>
        <w:t>0,000.00</w:t>
      </w:r>
      <w:r>
        <w:rPr>
          <w:rFonts w:hint="eastAsia" w:ascii="Times New Roman" w:hAnsi="Times New Roman" w:eastAsia="方正仿宋_GBK" w:cs="Times New Roman"/>
          <w:color w:val="auto"/>
          <w:szCs w:val="24"/>
          <w:highlight w:val="none"/>
        </w:rPr>
        <w:t>元（</w:t>
      </w:r>
      <w:r>
        <w:rPr>
          <w:rFonts w:hint="eastAsia" w:ascii="Times New Roman" w:hAnsi="Times New Roman" w:eastAsia="方正仿宋_GBK" w:cs="Times New Roman"/>
          <w:color w:val="auto"/>
          <w:szCs w:val="24"/>
          <w:highlight w:val="none"/>
          <w:lang w:eastAsia="zh-CN"/>
        </w:rPr>
        <w:t>人民币</w:t>
      </w:r>
      <w:r>
        <w:rPr>
          <w:rFonts w:hint="eastAsia" w:ascii="Times New Roman" w:hAnsi="Times New Roman" w:eastAsia="方正仿宋_GBK" w:cs="Times New Roman"/>
          <w:color w:val="auto"/>
          <w:szCs w:val="24"/>
          <w:highlight w:val="none"/>
        </w:rPr>
        <w:t>大写：</w:t>
      </w:r>
      <w:r>
        <w:rPr>
          <w:rFonts w:hint="eastAsia" w:cs="Times New Roman"/>
          <w:color w:val="auto"/>
          <w:szCs w:val="24"/>
          <w:highlight w:val="none"/>
          <w:lang w:eastAsia="zh-CN"/>
        </w:rPr>
        <w:t>伍</w:t>
      </w:r>
      <w:r>
        <w:rPr>
          <w:rFonts w:hint="eastAsia" w:ascii="Times New Roman" w:hAnsi="Times New Roman" w:cs="Times New Roman"/>
          <w:color w:val="auto"/>
          <w:szCs w:val="24"/>
          <w:highlight w:val="none"/>
          <w:lang w:eastAsia="zh-CN"/>
        </w:rPr>
        <w:t>万</w:t>
      </w:r>
      <w:r>
        <w:rPr>
          <w:rFonts w:hint="eastAsia" w:ascii="Times New Roman" w:hAnsi="Times New Roman" w:eastAsia="方正仿宋_GBK" w:cs="Times New Roman"/>
          <w:color w:val="auto"/>
          <w:szCs w:val="24"/>
          <w:highlight w:val="none"/>
        </w:rPr>
        <w:t>元整）</w:t>
      </w:r>
    </w:p>
    <w:p>
      <w:pPr>
        <w:keepNext w:val="0"/>
        <w:keepLines w:val="0"/>
        <w:pageBreakBefore w:val="0"/>
        <w:widowControl w:val="0"/>
        <w:tabs>
          <w:tab w:val="left" w:pos="1255"/>
          <w:tab w:val="left" w:pos="1506"/>
        </w:tabs>
        <w:kinsoku/>
        <w:wordWrap/>
        <w:overflowPunct/>
        <w:topLinePunct w:val="0"/>
        <w:autoSpaceDE/>
        <w:autoSpaceDN/>
        <w:bidi w:val="0"/>
        <w:snapToGrid w:val="0"/>
        <w:spacing w:line="520" w:lineRule="exact"/>
        <w:ind w:firstLine="438" w:firstLineChars="200"/>
        <w:textAlignment w:val="auto"/>
        <w:rPr>
          <w:rFonts w:hint="eastAsia" w:ascii="Times New Roman" w:hAnsi="Times New Roman" w:eastAsia="方正仿宋_GBK" w:cs="Times New Roman"/>
          <w:color w:val="000000"/>
          <w:szCs w:val="24"/>
          <w:highlight w:val="none"/>
        </w:rPr>
      </w:pPr>
      <w:r>
        <w:rPr>
          <w:rFonts w:hint="eastAsia" w:ascii="Times New Roman" w:hAnsi="Times New Roman" w:eastAsia="方正仿宋_GBK" w:cs="Times New Roman"/>
          <w:color w:val="000000"/>
          <w:szCs w:val="24"/>
          <w:highlight w:val="none"/>
        </w:rPr>
        <w:t>（2）缴纳方式：从</w:t>
      </w:r>
      <w:r>
        <w:rPr>
          <w:rFonts w:hint="eastAsia" w:ascii="Times New Roman" w:hAnsi="Times New Roman" w:eastAsia="方正仿宋_GBK" w:cs="Times New Roman"/>
          <w:color w:val="000000"/>
          <w:szCs w:val="24"/>
          <w:highlight w:val="none"/>
          <w:lang w:eastAsia="zh-CN"/>
        </w:rPr>
        <w:t>中选人</w:t>
      </w:r>
      <w:r>
        <w:rPr>
          <w:rFonts w:hint="eastAsia" w:ascii="Times New Roman" w:hAnsi="Times New Roman" w:eastAsia="方正仿宋_GBK" w:cs="Times New Roman"/>
          <w:color w:val="000000"/>
          <w:szCs w:val="24"/>
          <w:highlight w:val="none"/>
        </w:rPr>
        <w:t>账户划转至重庆市巴南区第二人民医院的账户上</w:t>
      </w:r>
    </w:p>
    <w:p>
      <w:pPr>
        <w:keepNext w:val="0"/>
        <w:keepLines w:val="0"/>
        <w:pageBreakBefore w:val="0"/>
        <w:widowControl w:val="0"/>
        <w:tabs>
          <w:tab w:val="left" w:pos="1255"/>
          <w:tab w:val="left" w:pos="1506"/>
        </w:tabs>
        <w:kinsoku/>
        <w:wordWrap/>
        <w:overflowPunct/>
        <w:topLinePunct w:val="0"/>
        <w:autoSpaceDE/>
        <w:autoSpaceDN/>
        <w:bidi w:val="0"/>
        <w:snapToGrid w:val="0"/>
        <w:spacing w:line="520" w:lineRule="exact"/>
        <w:ind w:firstLine="438" w:firstLineChars="200"/>
        <w:textAlignment w:val="auto"/>
        <w:rPr>
          <w:rFonts w:hint="eastAsia" w:ascii="Times New Roman" w:hAnsi="Times New Roman" w:eastAsia="方正仿宋_GBK" w:cs="Times New Roman"/>
          <w:color w:val="000000"/>
          <w:szCs w:val="24"/>
          <w:highlight w:val="none"/>
          <w:lang w:eastAsia="zh-CN"/>
        </w:rPr>
      </w:pPr>
      <w:r>
        <w:rPr>
          <w:rFonts w:hint="eastAsia" w:ascii="Times New Roman" w:hAnsi="Times New Roman" w:eastAsia="方正仿宋_GBK" w:cs="Times New Roman"/>
          <w:color w:val="000000"/>
          <w:szCs w:val="24"/>
          <w:highlight w:val="none"/>
        </w:rPr>
        <w:t>户  名：重庆市巴南区第二人民医院</w:t>
      </w:r>
    </w:p>
    <w:p>
      <w:pPr>
        <w:keepNext w:val="0"/>
        <w:keepLines w:val="0"/>
        <w:pageBreakBefore w:val="0"/>
        <w:widowControl w:val="0"/>
        <w:tabs>
          <w:tab w:val="left" w:pos="1255"/>
          <w:tab w:val="left" w:pos="1506"/>
        </w:tabs>
        <w:kinsoku/>
        <w:wordWrap/>
        <w:overflowPunct/>
        <w:topLinePunct w:val="0"/>
        <w:autoSpaceDE/>
        <w:autoSpaceDN/>
        <w:bidi w:val="0"/>
        <w:snapToGrid w:val="0"/>
        <w:spacing w:line="520" w:lineRule="exact"/>
        <w:ind w:firstLine="438" w:firstLineChars="200"/>
        <w:textAlignment w:val="auto"/>
        <w:rPr>
          <w:rFonts w:hint="eastAsia" w:ascii="Times New Roman" w:hAnsi="Times New Roman" w:eastAsia="方正仿宋_GBK" w:cs="Times New Roman"/>
          <w:color w:val="000000"/>
          <w:szCs w:val="24"/>
          <w:highlight w:val="none"/>
        </w:rPr>
      </w:pPr>
      <w:r>
        <w:rPr>
          <w:rFonts w:hint="eastAsia" w:ascii="Times New Roman" w:hAnsi="Times New Roman" w:eastAsia="方正仿宋_GBK" w:cs="Times New Roman"/>
          <w:color w:val="000000"/>
          <w:szCs w:val="24"/>
          <w:highlight w:val="none"/>
        </w:rPr>
        <w:t>开户行：工行重庆市分行李家沱支行</w:t>
      </w:r>
    </w:p>
    <w:p>
      <w:pPr>
        <w:keepNext w:val="0"/>
        <w:keepLines w:val="0"/>
        <w:pageBreakBefore w:val="0"/>
        <w:widowControl w:val="0"/>
        <w:tabs>
          <w:tab w:val="left" w:pos="1255"/>
          <w:tab w:val="left" w:pos="1506"/>
        </w:tabs>
        <w:kinsoku/>
        <w:wordWrap/>
        <w:overflowPunct/>
        <w:topLinePunct w:val="0"/>
        <w:autoSpaceDE/>
        <w:autoSpaceDN/>
        <w:bidi w:val="0"/>
        <w:snapToGrid w:val="0"/>
        <w:spacing w:line="520" w:lineRule="exact"/>
        <w:ind w:firstLine="438" w:firstLineChars="200"/>
        <w:textAlignment w:val="auto"/>
        <w:rPr>
          <w:rFonts w:hint="eastAsia" w:ascii="Times New Roman" w:hAnsi="Times New Roman" w:eastAsia="方正仿宋_GBK" w:cs="Times New Roman"/>
          <w:color w:val="000000"/>
          <w:szCs w:val="24"/>
          <w:highlight w:val="none"/>
        </w:rPr>
      </w:pPr>
      <w:r>
        <w:rPr>
          <w:rFonts w:hint="eastAsia" w:ascii="Times New Roman" w:hAnsi="Times New Roman" w:eastAsia="方正仿宋_GBK" w:cs="Times New Roman"/>
          <w:color w:val="000000"/>
          <w:szCs w:val="24"/>
          <w:highlight w:val="none"/>
          <w:lang w:eastAsia="zh-CN"/>
        </w:rPr>
        <w:t>账</w:t>
      </w:r>
      <w:r>
        <w:rPr>
          <w:rFonts w:hint="eastAsia" w:ascii="Times New Roman" w:hAnsi="Times New Roman" w:eastAsia="方正仿宋_GBK" w:cs="Times New Roman"/>
          <w:color w:val="000000"/>
          <w:szCs w:val="24"/>
          <w:highlight w:val="none"/>
        </w:rPr>
        <w:t xml:space="preserve">  号：3100026419201090302</w:t>
      </w:r>
    </w:p>
    <w:p>
      <w:pPr>
        <w:keepNext w:val="0"/>
        <w:keepLines w:val="0"/>
        <w:pageBreakBefore w:val="0"/>
        <w:widowControl w:val="0"/>
        <w:tabs>
          <w:tab w:val="left" w:pos="1255"/>
          <w:tab w:val="left" w:pos="1506"/>
        </w:tabs>
        <w:kinsoku/>
        <w:wordWrap/>
        <w:overflowPunct/>
        <w:topLinePunct w:val="0"/>
        <w:autoSpaceDE/>
        <w:autoSpaceDN/>
        <w:bidi w:val="0"/>
        <w:snapToGrid w:val="0"/>
        <w:spacing w:line="520" w:lineRule="exact"/>
        <w:ind w:firstLine="438" w:firstLineChars="200"/>
        <w:textAlignment w:val="auto"/>
        <w:rPr>
          <w:rFonts w:hint="eastAsia" w:ascii="Times New Roman" w:hAnsi="Times New Roman" w:eastAsia="方正仿宋_GBK" w:cs="Times New Roman"/>
          <w:color w:val="000000"/>
          <w:szCs w:val="24"/>
          <w:highlight w:val="none"/>
        </w:rPr>
      </w:pPr>
      <w:r>
        <w:rPr>
          <w:rFonts w:hint="eastAsia" w:ascii="Times New Roman" w:hAnsi="Times New Roman" w:eastAsia="方正仿宋_GBK" w:cs="Times New Roman"/>
          <w:color w:val="000000"/>
          <w:szCs w:val="24"/>
          <w:highlight w:val="none"/>
        </w:rPr>
        <w:t>社会信用代码：12500113450500299F</w:t>
      </w:r>
    </w:p>
    <w:p>
      <w:pPr>
        <w:keepNext w:val="0"/>
        <w:keepLines w:val="0"/>
        <w:pageBreakBefore w:val="0"/>
        <w:widowControl w:val="0"/>
        <w:tabs>
          <w:tab w:val="left" w:pos="1255"/>
          <w:tab w:val="left" w:pos="1506"/>
        </w:tabs>
        <w:kinsoku/>
        <w:wordWrap/>
        <w:overflowPunct/>
        <w:topLinePunct w:val="0"/>
        <w:autoSpaceDE/>
        <w:autoSpaceDN/>
        <w:bidi w:val="0"/>
        <w:snapToGrid w:val="0"/>
        <w:spacing w:line="520" w:lineRule="exact"/>
        <w:ind w:firstLine="438" w:firstLineChars="200"/>
        <w:textAlignment w:val="auto"/>
        <w:rPr>
          <w:rFonts w:hint="eastAsia" w:ascii="Times New Roman" w:hAnsi="Times New Roman" w:eastAsia="仿宋" w:cs="宋体"/>
          <w:b/>
          <w:bCs/>
          <w:color w:val="auto"/>
          <w:szCs w:val="28"/>
          <w:highlight w:val="none"/>
        </w:rPr>
      </w:pPr>
      <w:r>
        <w:rPr>
          <w:rFonts w:hint="eastAsia" w:ascii="Times New Roman" w:hAnsi="Times New Roman" w:eastAsia="方正仿宋_GBK" w:cs="Times New Roman"/>
          <w:color w:val="000000"/>
          <w:szCs w:val="24"/>
          <w:highlight w:val="none"/>
        </w:rPr>
        <w:t>（3）退还方式：履行合同内容，经采购人确认，合同期限结束后3个工作日内无息退还。</w:t>
      </w:r>
    </w:p>
    <w:p>
      <w:pPr>
        <w:keepNext w:val="0"/>
        <w:keepLines w:val="0"/>
        <w:pageBreakBefore w:val="0"/>
        <w:widowControl w:val="0"/>
        <w:kinsoku/>
        <w:wordWrap/>
        <w:overflowPunct/>
        <w:topLinePunct w:val="0"/>
        <w:autoSpaceDE/>
        <w:autoSpaceDN/>
        <w:bidi w:val="0"/>
        <w:spacing w:before="156" w:after="156" w:line="520" w:lineRule="exact"/>
        <w:ind w:firstLine="438" w:firstLineChars="200"/>
        <w:jc w:val="left"/>
        <w:textAlignment w:val="auto"/>
        <w:outlineLvl w:val="1"/>
        <w:rPr>
          <w:rFonts w:hint="eastAsia" w:ascii="Times New Roman" w:hAnsi="Times New Roman" w:eastAsia="仿宋" w:cs="宋体"/>
          <w:b/>
          <w:bCs/>
          <w:color w:val="auto"/>
          <w:szCs w:val="28"/>
          <w:highlight w:val="none"/>
        </w:rPr>
      </w:pPr>
      <w:r>
        <w:rPr>
          <w:rFonts w:hint="eastAsia" w:eastAsia="仿宋" w:cs="宋体"/>
          <w:b/>
          <w:bCs/>
          <w:color w:val="auto"/>
          <w:szCs w:val="28"/>
          <w:highlight w:val="none"/>
          <w:lang w:eastAsia="zh-CN"/>
        </w:rPr>
        <w:t>五</w:t>
      </w:r>
      <w:r>
        <w:rPr>
          <w:rFonts w:hint="eastAsia" w:ascii="Times New Roman" w:hAnsi="Times New Roman" w:eastAsia="仿宋" w:cs="宋体"/>
          <w:b/>
          <w:bCs/>
          <w:color w:val="auto"/>
          <w:szCs w:val="28"/>
          <w:highlight w:val="none"/>
          <w:lang w:eastAsia="zh-CN"/>
        </w:rPr>
        <w:t>、</w:t>
      </w:r>
      <w:r>
        <w:rPr>
          <w:rFonts w:hint="eastAsia" w:ascii="Times New Roman" w:hAnsi="Times New Roman" w:eastAsia="仿宋" w:cs="宋体"/>
          <w:b/>
          <w:bCs/>
          <w:color w:val="auto"/>
          <w:szCs w:val="28"/>
          <w:highlight w:val="none"/>
        </w:rPr>
        <w:t>其他</w:t>
      </w:r>
      <w:bookmarkEnd w:id="287"/>
      <w:r>
        <w:rPr>
          <w:rFonts w:hint="eastAsia" w:ascii="Times New Roman" w:hAnsi="Times New Roman" w:eastAsia="仿宋" w:cs="宋体"/>
          <w:b/>
          <w:bCs/>
          <w:color w:val="auto"/>
          <w:szCs w:val="28"/>
          <w:highlight w:val="none"/>
        </w:rPr>
        <w:t>要求</w:t>
      </w:r>
    </w:p>
    <w:p>
      <w:pPr>
        <w:keepNext w:val="0"/>
        <w:keepLines w:val="0"/>
        <w:pageBreakBefore w:val="0"/>
        <w:widowControl w:val="0"/>
        <w:shd w:val="clear" w:color="auto" w:fill="FFFFFF"/>
        <w:kinsoku/>
        <w:wordWrap/>
        <w:overflowPunct/>
        <w:topLinePunct w:val="0"/>
        <w:autoSpaceDE/>
        <w:autoSpaceDN/>
        <w:bidi w:val="0"/>
        <w:spacing w:line="520" w:lineRule="exact"/>
        <w:ind w:firstLine="438" w:firstLineChars="200"/>
        <w:jc w:val="left"/>
        <w:textAlignment w:val="auto"/>
        <w:rPr>
          <w:rFonts w:ascii="Times New Roman" w:hAnsi="Times New Roman" w:eastAsia="方正仿宋_GBK"/>
          <w:color w:val="000000"/>
          <w:szCs w:val="24"/>
          <w:highlight w:val="none"/>
        </w:rPr>
      </w:pPr>
      <w:r>
        <w:rPr>
          <w:rFonts w:ascii="Times New Roman" w:hAnsi="Times New Roman" w:eastAsia="方正仿宋_GBK"/>
          <w:color w:val="000000"/>
          <w:szCs w:val="24"/>
          <w:highlight w:val="none"/>
        </w:rPr>
        <w:t>1.供应商的</w:t>
      </w:r>
      <w:r>
        <w:rPr>
          <w:rFonts w:hint="eastAsia" w:ascii="Times New Roman" w:hAnsi="Times New Roman" w:eastAsia="方正仿宋_GBK"/>
          <w:color w:val="000000"/>
          <w:szCs w:val="24"/>
          <w:highlight w:val="none"/>
          <w:lang w:eastAsia="zh-CN"/>
        </w:rPr>
        <w:t>肠内营养制剂</w:t>
      </w:r>
      <w:r>
        <w:rPr>
          <w:rFonts w:ascii="Times New Roman" w:hAnsi="Times New Roman" w:eastAsia="方正仿宋_GBK"/>
          <w:color w:val="000000"/>
          <w:szCs w:val="24"/>
          <w:highlight w:val="none"/>
        </w:rPr>
        <w:t>供应价格按照中标价执行。在供应期前12个月内不允许调价；满12个月后，经公司申请并提供资料，经医院同意，可以进行价格调整，根据营养科室的需求进行对</w:t>
      </w:r>
      <w:r>
        <w:rPr>
          <w:rFonts w:hint="eastAsia" w:ascii="Times New Roman" w:hAnsi="Times New Roman" w:eastAsia="方正仿宋_GBK"/>
          <w:color w:val="000000"/>
          <w:szCs w:val="24"/>
          <w:highlight w:val="none"/>
          <w:lang w:eastAsia="zh-CN"/>
        </w:rPr>
        <w:t>肠内营养制剂</w:t>
      </w:r>
      <w:r>
        <w:rPr>
          <w:rFonts w:ascii="Times New Roman" w:hAnsi="Times New Roman" w:eastAsia="方正仿宋_GBK"/>
          <w:color w:val="000000"/>
          <w:szCs w:val="24"/>
          <w:highlight w:val="none"/>
        </w:rPr>
        <w:t>的调整。</w:t>
      </w:r>
    </w:p>
    <w:p>
      <w:pPr>
        <w:keepNext w:val="0"/>
        <w:keepLines w:val="0"/>
        <w:pageBreakBefore w:val="0"/>
        <w:widowControl w:val="0"/>
        <w:kinsoku/>
        <w:wordWrap/>
        <w:overflowPunct/>
        <w:topLinePunct w:val="0"/>
        <w:autoSpaceDE/>
        <w:autoSpaceDN/>
        <w:bidi w:val="0"/>
        <w:spacing w:line="520" w:lineRule="exact"/>
        <w:ind w:firstLine="438" w:firstLineChars="200"/>
        <w:textAlignment w:val="auto"/>
        <w:rPr>
          <w:rFonts w:ascii="Times New Roman" w:hAnsi="Times New Roman" w:eastAsia="方正仿宋_GBK"/>
          <w:color w:val="000000"/>
          <w:szCs w:val="24"/>
          <w:highlight w:val="none"/>
        </w:rPr>
      </w:pPr>
      <w:r>
        <w:rPr>
          <w:rFonts w:ascii="Times New Roman" w:hAnsi="Times New Roman" w:eastAsia="方正仿宋_GBK"/>
          <w:color w:val="000000"/>
          <w:szCs w:val="24"/>
          <w:highlight w:val="none"/>
        </w:rPr>
        <w:t>2.若供应商在半年内无故出现3次或累计超过10个常用</w:t>
      </w:r>
      <w:r>
        <w:rPr>
          <w:rFonts w:hint="eastAsia" w:ascii="Times New Roman" w:hAnsi="Times New Roman" w:eastAsia="方正仿宋_GBK"/>
          <w:color w:val="000000"/>
          <w:szCs w:val="24"/>
          <w:highlight w:val="none"/>
          <w:lang w:eastAsia="zh-CN"/>
        </w:rPr>
        <w:t>肠内营养制剂</w:t>
      </w:r>
      <w:r>
        <w:rPr>
          <w:rFonts w:ascii="Times New Roman" w:hAnsi="Times New Roman" w:eastAsia="方正仿宋_GBK"/>
          <w:color w:val="000000"/>
          <w:szCs w:val="24"/>
          <w:highlight w:val="none"/>
        </w:rPr>
        <w:t>的延迟供应（比正常到货时间延长2天及以上）或不供应，则视为其主动放弃所有品种的供应资格。医院有权另行寻找供应商，且相关责任由该供应商自行负责。</w:t>
      </w:r>
    </w:p>
    <w:p>
      <w:pPr>
        <w:keepNext w:val="0"/>
        <w:keepLines w:val="0"/>
        <w:pageBreakBefore w:val="0"/>
        <w:widowControl w:val="0"/>
        <w:kinsoku/>
        <w:wordWrap/>
        <w:overflowPunct/>
        <w:topLinePunct w:val="0"/>
        <w:autoSpaceDE/>
        <w:autoSpaceDN/>
        <w:bidi w:val="0"/>
        <w:spacing w:line="520" w:lineRule="exact"/>
        <w:ind w:firstLine="438" w:firstLineChars="200"/>
        <w:textAlignment w:val="auto"/>
        <w:rPr>
          <w:rFonts w:ascii="Times New Roman" w:hAnsi="Times New Roman" w:eastAsia="方正仿宋_GBK"/>
          <w:color w:val="000000"/>
          <w:szCs w:val="24"/>
          <w:highlight w:val="none"/>
        </w:rPr>
      </w:pPr>
      <w:r>
        <w:rPr>
          <w:rFonts w:ascii="Times New Roman" w:hAnsi="Times New Roman" w:eastAsia="方正仿宋_GBK"/>
          <w:color w:val="000000"/>
          <w:szCs w:val="24"/>
          <w:highlight w:val="none"/>
        </w:rPr>
        <w:t>3.若供应商在供应期内出现3次</w:t>
      </w:r>
      <w:r>
        <w:rPr>
          <w:rFonts w:hint="eastAsia" w:ascii="Times New Roman" w:hAnsi="Times New Roman" w:eastAsia="方正仿宋_GBK"/>
          <w:color w:val="000000"/>
          <w:szCs w:val="24"/>
          <w:highlight w:val="none"/>
          <w:lang w:eastAsia="zh-CN"/>
        </w:rPr>
        <w:t>肠内营养制剂</w:t>
      </w:r>
      <w:r>
        <w:rPr>
          <w:rFonts w:ascii="Times New Roman" w:hAnsi="Times New Roman" w:eastAsia="方正仿宋_GBK"/>
          <w:color w:val="000000"/>
          <w:szCs w:val="24"/>
          <w:highlight w:val="none"/>
        </w:rPr>
        <w:t>质量达不到样品要求，医院有权单方面终止与该供应商合作。</w:t>
      </w:r>
    </w:p>
    <w:p>
      <w:pPr>
        <w:keepNext w:val="0"/>
        <w:keepLines w:val="0"/>
        <w:pageBreakBefore w:val="0"/>
        <w:widowControl w:val="0"/>
        <w:kinsoku/>
        <w:wordWrap/>
        <w:overflowPunct/>
        <w:topLinePunct w:val="0"/>
        <w:autoSpaceDE/>
        <w:autoSpaceDN/>
        <w:bidi w:val="0"/>
        <w:spacing w:line="520" w:lineRule="exact"/>
        <w:ind w:firstLine="438" w:firstLineChars="200"/>
        <w:textAlignment w:val="auto"/>
        <w:rPr>
          <w:rFonts w:ascii="Times New Roman" w:hAnsi="Times New Roman" w:eastAsia="方正仿宋_GBK"/>
          <w:color w:val="000000"/>
          <w:szCs w:val="24"/>
          <w:highlight w:val="none"/>
        </w:rPr>
      </w:pPr>
      <w:r>
        <w:rPr>
          <w:rFonts w:ascii="Times New Roman" w:hAnsi="Times New Roman" w:eastAsia="方正仿宋_GBK"/>
          <w:color w:val="000000"/>
          <w:szCs w:val="24"/>
          <w:highlight w:val="none"/>
        </w:rPr>
        <w:t>4.若供应商在一个供应周期内向医院供应假、劣产品，则由其承担全部不良后果，医院有权单方面立即终止其</w:t>
      </w:r>
      <w:r>
        <w:rPr>
          <w:rFonts w:hint="eastAsia" w:ascii="Times New Roman" w:hAnsi="Times New Roman" w:eastAsia="方正仿宋_GBK"/>
          <w:color w:val="000000"/>
          <w:szCs w:val="24"/>
          <w:highlight w:val="none"/>
          <w:lang w:eastAsia="zh-CN"/>
        </w:rPr>
        <w:t>肠内营养制剂</w:t>
      </w:r>
      <w:r>
        <w:rPr>
          <w:rFonts w:ascii="Times New Roman" w:hAnsi="Times New Roman" w:eastAsia="方正仿宋_GBK"/>
          <w:color w:val="000000"/>
          <w:szCs w:val="24"/>
          <w:highlight w:val="none"/>
        </w:rPr>
        <w:t>供应资格，并取消参加医院遴选的资格。</w:t>
      </w:r>
    </w:p>
    <w:p>
      <w:pPr>
        <w:keepNext w:val="0"/>
        <w:keepLines w:val="0"/>
        <w:pageBreakBefore w:val="0"/>
        <w:widowControl w:val="0"/>
        <w:kinsoku/>
        <w:wordWrap/>
        <w:overflowPunct/>
        <w:topLinePunct w:val="0"/>
        <w:autoSpaceDE/>
        <w:autoSpaceDN/>
        <w:bidi w:val="0"/>
        <w:spacing w:line="520" w:lineRule="exact"/>
        <w:ind w:firstLine="438" w:firstLineChars="200"/>
        <w:textAlignment w:val="auto"/>
        <w:rPr>
          <w:rFonts w:ascii="Times New Roman" w:hAnsi="Times New Roman" w:eastAsia="方正仿宋_GBK"/>
          <w:color w:val="000000"/>
          <w:szCs w:val="24"/>
          <w:highlight w:val="none"/>
        </w:rPr>
      </w:pPr>
      <w:r>
        <w:rPr>
          <w:rFonts w:ascii="Times New Roman" w:hAnsi="Times New Roman" w:eastAsia="方正仿宋_GBK"/>
          <w:color w:val="000000"/>
          <w:szCs w:val="24"/>
          <w:highlight w:val="none"/>
        </w:rPr>
        <w:t>5.</w:t>
      </w:r>
      <w:r>
        <w:rPr>
          <w:rFonts w:hint="eastAsia" w:ascii="Times New Roman" w:hAnsi="Times New Roman"/>
          <w:color w:val="000000"/>
          <w:szCs w:val="24"/>
          <w:highlight w:val="none"/>
          <w:lang w:val="en-US" w:eastAsia="zh-CN"/>
        </w:rPr>
        <w:t>.</w:t>
      </w:r>
      <w:r>
        <w:rPr>
          <w:rFonts w:ascii="Times New Roman" w:hAnsi="Times New Roman" w:eastAsia="方正仿宋_GBK"/>
          <w:color w:val="000000"/>
          <w:szCs w:val="24"/>
          <w:highlight w:val="none"/>
        </w:rPr>
        <w:t>若供应商在一个供应周期内发现违反国家廉洁建设相关规定或进入政府采购活动“黑名单”，医院有权单方面立即终止其</w:t>
      </w:r>
      <w:r>
        <w:rPr>
          <w:rFonts w:hint="eastAsia" w:ascii="Times New Roman" w:hAnsi="Times New Roman" w:eastAsia="方正仿宋_GBK"/>
          <w:color w:val="000000"/>
          <w:szCs w:val="24"/>
          <w:highlight w:val="none"/>
          <w:lang w:eastAsia="zh-CN"/>
        </w:rPr>
        <w:t>肠内营养制剂</w:t>
      </w:r>
      <w:r>
        <w:rPr>
          <w:rFonts w:ascii="Times New Roman" w:hAnsi="Times New Roman" w:eastAsia="方正仿宋_GBK"/>
          <w:color w:val="000000"/>
          <w:szCs w:val="24"/>
          <w:highlight w:val="none"/>
        </w:rPr>
        <w:t>及一切购销活动供应资格。</w:t>
      </w:r>
    </w:p>
    <w:p>
      <w:pPr>
        <w:keepNext w:val="0"/>
        <w:keepLines w:val="0"/>
        <w:pageBreakBefore w:val="0"/>
        <w:widowControl w:val="0"/>
        <w:kinsoku/>
        <w:wordWrap/>
        <w:overflowPunct/>
        <w:topLinePunct w:val="0"/>
        <w:autoSpaceDE/>
        <w:autoSpaceDN/>
        <w:bidi w:val="0"/>
        <w:adjustRightInd w:val="0"/>
        <w:snapToGrid w:val="0"/>
        <w:spacing w:line="520" w:lineRule="exact"/>
        <w:ind w:firstLine="438" w:firstLineChars="200"/>
        <w:jc w:val="left"/>
        <w:textAlignment w:val="auto"/>
        <w:rPr>
          <w:rFonts w:hint="eastAsia" w:ascii="Times New Roman" w:hAnsi="Times New Roman" w:cs="Times New Roman"/>
          <w:color w:val="000000"/>
          <w:szCs w:val="24"/>
          <w:highlight w:val="none"/>
          <w:lang w:val="en-US" w:eastAsia="zh-CN"/>
        </w:rPr>
      </w:pPr>
      <w:r>
        <w:rPr>
          <w:rFonts w:hint="eastAsia" w:ascii="方正仿宋_GBK" w:hAnsi="方正仿宋_GBK" w:eastAsia="仿宋" w:cs="方正仿宋_GBK"/>
          <w:color w:val="auto"/>
          <w:szCs w:val="28"/>
          <w:highlight w:val="none"/>
          <w:lang w:val="en-US" w:eastAsia="zh-CN"/>
        </w:rPr>
        <w:t>6</w:t>
      </w:r>
      <w:r>
        <w:rPr>
          <w:rFonts w:hint="eastAsia" w:ascii="Times New Roman" w:hAnsi="Times New Roman" w:cs="Times New Roman"/>
          <w:color w:val="000000"/>
          <w:szCs w:val="24"/>
          <w:highlight w:val="none"/>
          <w:lang w:val="en-US" w:eastAsia="zh-CN"/>
        </w:rPr>
        <w:t>.供应商必须在响应文件中对以上条款和服务承诺明确列出，承诺内容必须达到本篇及遴选文件其他条款的要求。</w:t>
      </w:r>
    </w:p>
    <w:p>
      <w:pPr>
        <w:keepNext w:val="0"/>
        <w:keepLines w:val="0"/>
        <w:pageBreakBefore w:val="0"/>
        <w:widowControl w:val="0"/>
        <w:kinsoku/>
        <w:wordWrap/>
        <w:overflowPunct/>
        <w:topLinePunct w:val="0"/>
        <w:autoSpaceDE/>
        <w:autoSpaceDN/>
        <w:bidi w:val="0"/>
        <w:adjustRightInd w:val="0"/>
        <w:snapToGrid w:val="0"/>
        <w:spacing w:line="520" w:lineRule="exact"/>
        <w:ind w:firstLine="438" w:firstLineChars="200"/>
        <w:jc w:val="left"/>
        <w:textAlignment w:val="auto"/>
        <w:rPr>
          <w:rFonts w:ascii="Times New Roman" w:hAnsi="Times New Roman" w:eastAsia="方正仿宋_GBK"/>
          <w:color w:val="000000"/>
          <w:szCs w:val="24"/>
          <w:highlight w:val="none"/>
        </w:rPr>
      </w:pPr>
      <w:r>
        <w:rPr>
          <w:rFonts w:hint="eastAsia" w:ascii="Times New Roman" w:hAnsi="Times New Roman" w:cs="Times New Roman"/>
          <w:color w:val="000000"/>
          <w:szCs w:val="24"/>
          <w:highlight w:val="none"/>
          <w:lang w:val="en-US" w:eastAsia="zh-CN"/>
        </w:rPr>
        <w:t>7.</w:t>
      </w:r>
      <w:r>
        <w:rPr>
          <w:rFonts w:hint="eastAsia" w:ascii="方正仿宋_GBK" w:hAnsi="方正仿宋_GBK" w:eastAsia="仿宋" w:cs="方正仿宋_GBK"/>
          <w:color w:val="auto"/>
          <w:szCs w:val="28"/>
          <w:highlight w:val="none"/>
        </w:rPr>
        <w:t>成交供应商确定后，由采购人和成交单位按照相关规定和程序办理有关手续，签订合同。</w:t>
      </w:r>
    </w:p>
    <w:p>
      <w:pPr>
        <w:keepNext w:val="0"/>
        <w:keepLines w:val="0"/>
        <w:pageBreakBefore w:val="0"/>
        <w:widowControl w:val="0"/>
        <w:kinsoku/>
        <w:wordWrap/>
        <w:overflowPunct/>
        <w:topLinePunct w:val="0"/>
        <w:autoSpaceDE/>
        <w:autoSpaceDN/>
        <w:bidi w:val="0"/>
        <w:adjustRightInd w:val="0"/>
        <w:snapToGrid w:val="0"/>
        <w:spacing w:line="520" w:lineRule="exact"/>
        <w:ind w:firstLine="438" w:firstLineChars="200"/>
        <w:jc w:val="left"/>
        <w:textAlignment w:val="auto"/>
        <w:rPr>
          <w:rFonts w:hint="eastAsia" w:ascii="方正仿宋_GBK" w:hAnsi="方正仿宋_GBK" w:eastAsia="仿宋" w:cs="方正仿宋_GBK"/>
          <w:color w:val="auto"/>
          <w:szCs w:val="28"/>
          <w:highlight w:val="none"/>
          <w:lang w:eastAsia="zh-CN"/>
        </w:rPr>
      </w:pPr>
      <w:r>
        <w:rPr>
          <w:rFonts w:hint="eastAsia" w:ascii="Times New Roman" w:hAnsi="Times New Roman" w:cs="Times New Roman"/>
          <w:color w:val="000000"/>
          <w:szCs w:val="24"/>
          <w:highlight w:val="none"/>
          <w:lang w:val="en-US" w:eastAsia="zh-CN"/>
        </w:rPr>
        <w:t>8.</w:t>
      </w:r>
      <w:r>
        <w:rPr>
          <w:rFonts w:ascii="Times New Roman" w:hAnsi="Times New Roman" w:eastAsia="方正仿宋_GBK"/>
          <w:color w:val="000000"/>
          <w:szCs w:val="24"/>
          <w:highlight w:val="none"/>
        </w:rPr>
        <w:t>其他未尽事宜由成交供应商和采购人双方在采购合同中详细约定。</w:t>
      </w:r>
    </w:p>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Pr>
        <w:adjustRightInd w:val="0"/>
        <w:snapToGrid w:val="0"/>
        <w:spacing w:line="520" w:lineRule="exact"/>
        <w:ind w:firstLine="438" w:firstLineChars="200"/>
        <w:jc w:val="left"/>
        <w:rPr>
          <w:rFonts w:ascii="方正仿宋_GBK" w:hAnsi="方正仿宋_GBK" w:eastAsia="仿宋" w:cs="方正仿宋_GBK"/>
          <w:color w:val="auto"/>
          <w:szCs w:val="28"/>
          <w:highlight w:val="none"/>
        </w:rPr>
        <w:sectPr>
          <w:headerReference r:id="rId6" w:type="default"/>
          <w:footerReference r:id="rId7" w:type="default"/>
          <w:pgSz w:w="11907" w:h="16840"/>
          <w:pgMar w:top="1134" w:right="1191" w:bottom="1134" w:left="1304" w:header="794" w:footer="992" w:gutter="0"/>
          <w:pgBorders>
            <w:top w:val="none" w:sz="0" w:space="0"/>
            <w:left w:val="none" w:sz="0" w:space="0"/>
            <w:bottom w:val="none" w:sz="0" w:space="0"/>
            <w:right w:val="none" w:sz="0" w:space="0"/>
          </w:pgBorders>
          <w:pgNumType w:fmt="decimal"/>
          <w:cols w:space="720" w:num="1"/>
          <w:docGrid w:type="linesAndChars" w:linePitch="393" w:charSpace="-4325"/>
        </w:sectPr>
      </w:pPr>
    </w:p>
    <w:bookmarkEnd w:id="253"/>
    <w:p>
      <w:pPr>
        <w:pStyle w:val="3"/>
        <w:numPr>
          <w:ilvl w:val="0"/>
          <w:numId w:val="0"/>
        </w:numPr>
        <w:spacing w:before="196" w:after="196"/>
        <w:ind w:leftChars="0"/>
        <w:jc w:val="both"/>
        <w:rPr>
          <w:color w:val="auto"/>
          <w:spacing w:val="-28"/>
          <w:szCs w:val="22"/>
          <w:highlight w:val="none"/>
        </w:rPr>
      </w:pPr>
      <w:bookmarkStart w:id="288" w:name="_Toc20828"/>
      <w:bookmarkStart w:id="289" w:name="_Toc29580"/>
      <w:bookmarkStart w:id="290" w:name="_Toc27935"/>
      <w:bookmarkStart w:id="291" w:name="_Toc22566"/>
      <w:bookmarkStart w:id="292" w:name="_Toc1839"/>
      <w:bookmarkStart w:id="293" w:name="_Toc3130"/>
      <w:bookmarkStart w:id="294" w:name="_Toc1690"/>
      <w:bookmarkStart w:id="295" w:name="_Toc29498"/>
      <w:bookmarkStart w:id="296" w:name="_Toc6833"/>
      <w:bookmarkStart w:id="297" w:name="_Toc7497"/>
      <w:bookmarkStart w:id="298" w:name="_Toc5105"/>
      <w:bookmarkStart w:id="299" w:name="_Toc28660"/>
      <w:bookmarkStart w:id="300" w:name="_Toc19592"/>
      <w:bookmarkStart w:id="301" w:name="_Toc22480"/>
      <w:bookmarkStart w:id="302" w:name="_Toc22499"/>
      <w:r>
        <w:rPr>
          <w:rFonts w:hint="eastAsia"/>
          <w:color w:val="auto"/>
          <w:spacing w:val="-28"/>
          <w:szCs w:val="22"/>
          <w:highlight w:val="none"/>
          <w:lang w:eastAsia="zh-CN"/>
        </w:rPr>
        <w:t>第四篇</w:t>
      </w:r>
      <w:r>
        <w:rPr>
          <w:rFonts w:hint="eastAsia"/>
          <w:color w:val="auto"/>
          <w:spacing w:val="-28"/>
          <w:szCs w:val="22"/>
          <w:highlight w:val="none"/>
          <w:lang w:val="en-US" w:eastAsia="zh-CN"/>
        </w:rPr>
        <w:t xml:space="preserve">  </w:t>
      </w:r>
      <w:r>
        <w:rPr>
          <w:rFonts w:hint="eastAsia"/>
          <w:color w:val="auto"/>
          <w:spacing w:val="-28"/>
          <w:szCs w:val="22"/>
          <w:highlight w:val="none"/>
          <w:lang w:eastAsia="zh-CN"/>
        </w:rPr>
        <w:t>遴选</w:t>
      </w:r>
      <w:r>
        <w:rPr>
          <w:rFonts w:hint="eastAsia"/>
          <w:color w:val="auto"/>
          <w:spacing w:val="-28"/>
          <w:szCs w:val="22"/>
          <w:highlight w:val="none"/>
        </w:rPr>
        <w:t>程序及方法、评审标准、无效响应和采购终止</w:t>
      </w:r>
      <w:bookmarkEnd w:id="288"/>
      <w:bookmarkEnd w:id="289"/>
      <w:bookmarkEnd w:id="290"/>
      <w:bookmarkEnd w:id="291"/>
      <w:bookmarkEnd w:id="292"/>
      <w:bookmarkEnd w:id="293"/>
      <w:bookmarkEnd w:id="294"/>
      <w:bookmarkEnd w:id="295"/>
      <w:bookmarkEnd w:id="296"/>
      <w:bookmarkEnd w:id="297"/>
      <w:bookmarkEnd w:id="298"/>
      <w:bookmarkEnd w:id="299"/>
      <w:bookmarkEnd w:id="300"/>
    </w:p>
    <w:bookmarkEnd w:id="301"/>
    <w:bookmarkEnd w:id="302"/>
    <w:p>
      <w:pPr>
        <w:spacing w:before="156" w:after="156" w:line="520" w:lineRule="exact"/>
        <w:ind w:firstLine="438" w:firstLineChars="200"/>
        <w:jc w:val="left"/>
        <w:outlineLvl w:val="1"/>
        <w:rPr>
          <w:rFonts w:hint="eastAsia" w:ascii="Times New Roman" w:hAnsi="Times New Roman" w:eastAsia="仿宋" w:cs="宋体"/>
          <w:b/>
          <w:bCs/>
          <w:color w:val="auto"/>
          <w:szCs w:val="28"/>
          <w:highlight w:val="none"/>
          <w:lang w:eastAsia="zh-CN"/>
        </w:rPr>
      </w:pPr>
      <w:bookmarkStart w:id="303" w:name="_Toc32210"/>
      <w:bookmarkStart w:id="304" w:name="_Toc27190"/>
      <w:bookmarkStart w:id="305" w:name="_Toc13835"/>
      <w:bookmarkStart w:id="306" w:name="_Toc1562"/>
      <w:bookmarkStart w:id="307" w:name="_Toc10656"/>
      <w:bookmarkStart w:id="308" w:name="_Toc12159"/>
      <w:bookmarkStart w:id="309" w:name="_Toc13507"/>
      <w:bookmarkStart w:id="310" w:name="_Toc493506300"/>
      <w:bookmarkStart w:id="311" w:name="_Toc492721017"/>
      <w:bookmarkStart w:id="312" w:name="_Toc495592656"/>
      <w:bookmarkStart w:id="313" w:name="_Toc26415"/>
      <w:r>
        <w:rPr>
          <w:rFonts w:hint="eastAsia" w:ascii="Times New Roman" w:hAnsi="Times New Roman" w:eastAsia="仿宋" w:cs="宋体"/>
          <w:b/>
          <w:bCs/>
          <w:color w:val="auto"/>
          <w:szCs w:val="28"/>
          <w:highlight w:val="none"/>
          <w:lang w:eastAsia="zh-CN"/>
        </w:rPr>
        <w:t>一、</w:t>
      </w:r>
      <w:bookmarkEnd w:id="303"/>
      <w:bookmarkEnd w:id="304"/>
      <w:bookmarkEnd w:id="305"/>
      <w:bookmarkEnd w:id="306"/>
      <w:bookmarkEnd w:id="307"/>
      <w:bookmarkEnd w:id="308"/>
      <w:bookmarkEnd w:id="309"/>
      <w:r>
        <w:rPr>
          <w:rFonts w:hint="eastAsia" w:ascii="Times New Roman" w:hAnsi="Times New Roman" w:eastAsia="仿宋" w:cs="宋体"/>
          <w:b/>
          <w:bCs/>
          <w:color w:val="auto"/>
          <w:szCs w:val="28"/>
          <w:highlight w:val="none"/>
          <w:lang w:eastAsia="zh-CN"/>
        </w:rPr>
        <w:t>资格审查及符合性审查</w:t>
      </w:r>
    </w:p>
    <w:p>
      <w:pPr>
        <w:spacing w:before="156" w:after="156" w:line="520" w:lineRule="exact"/>
        <w:ind w:firstLine="438" w:firstLineChars="200"/>
        <w:jc w:val="left"/>
        <w:outlineLvl w:val="1"/>
        <w:rPr>
          <w:rFonts w:hint="eastAsia" w:ascii="Times New Roman" w:hAnsi="Times New Roman" w:eastAsia="仿宋" w:cs="宋体"/>
          <w:b/>
          <w:bCs/>
          <w:color w:val="auto"/>
          <w:szCs w:val="28"/>
          <w:highlight w:val="none"/>
          <w:lang w:eastAsia="zh-CN"/>
        </w:rPr>
      </w:pPr>
      <w:r>
        <w:rPr>
          <w:rFonts w:hint="eastAsia" w:ascii="Times New Roman" w:hAnsi="Times New Roman" w:eastAsia="仿宋" w:cs="宋体"/>
          <w:b/>
          <w:bCs/>
          <w:color w:val="auto"/>
          <w:szCs w:val="28"/>
          <w:highlight w:val="none"/>
          <w:lang w:eastAsia="zh-CN"/>
        </w:rPr>
        <w:t>若未通过资格审查及符合性审查的响应文件，不进入评审环节。</w:t>
      </w:r>
    </w:p>
    <w:p>
      <w:pPr>
        <w:spacing w:line="440" w:lineRule="exact"/>
        <w:ind w:firstLine="438" w:firstLineChars="200"/>
        <w:jc w:val="left"/>
        <w:rPr>
          <w:rFonts w:ascii="方正仿宋_GBK" w:hAnsi="仿宋" w:eastAsia="仿宋" w:cs="仿宋"/>
          <w:color w:val="auto"/>
          <w:kern w:val="0"/>
          <w:szCs w:val="28"/>
          <w:highlight w:val="none"/>
        </w:rPr>
      </w:pPr>
      <w:r>
        <w:rPr>
          <w:rFonts w:ascii="Times New Roman" w:hAnsi="Times New Roman" w:eastAsia="方正仿宋_GBK"/>
          <w:color w:val="000000"/>
          <w:kern w:val="0"/>
          <w:szCs w:val="28"/>
          <w:highlight w:val="none"/>
        </w:rPr>
        <w:t>1、资格性检查。依据法律法规和遴选文件的规定，对响应文件中的资格证明、遴选保证金等进行审查，以确定供应商是否具备遴选资格。资格性检查资料表如下：</w:t>
      </w:r>
    </w:p>
    <w:tbl>
      <w:tblPr>
        <w:tblStyle w:val="24"/>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47"/>
        <w:gridCol w:w="1724"/>
        <w:gridCol w:w="5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50" w:type="dxa"/>
            <w:vAlign w:val="center"/>
          </w:tcPr>
          <w:p>
            <w:pPr>
              <w:keepNext w:val="0"/>
              <w:keepLines w:val="0"/>
              <w:suppressLineNumbers w:val="0"/>
              <w:spacing w:before="0" w:beforeAutospacing="0" w:after="0" w:afterAutospacing="0"/>
              <w:ind w:left="0" w:right="0"/>
              <w:jc w:val="center"/>
              <w:rPr>
                <w:rFonts w:hint="default" w:eastAsia="仿宋"/>
                <w:b/>
                <w:bCs/>
                <w:color w:val="auto"/>
                <w:kern w:val="0"/>
                <w:sz w:val="21"/>
                <w:szCs w:val="21"/>
                <w:highlight w:val="none"/>
              </w:rPr>
            </w:pPr>
            <w:r>
              <w:rPr>
                <w:rFonts w:hint="eastAsia" w:eastAsia="仿宋"/>
                <w:b/>
                <w:bCs/>
                <w:color w:val="auto"/>
                <w:kern w:val="0"/>
                <w:sz w:val="21"/>
                <w:szCs w:val="21"/>
                <w:highlight w:val="none"/>
              </w:rPr>
              <w:t>序号</w:t>
            </w:r>
          </w:p>
        </w:tc>
        <w:tc>
          <w:tcPr>
            <w:tcW w:w="3271" w:type="dxa"/>
            <w:gridSpan w:val="2"/>
            <w:vAlign w:val="center"/>
          </w:tcPr>
          <w:p>
            <w:pPr>
              <w:keepNext w:val="0"/>
              <w:keepLines w:val="0"/>
              <w:suppressLineNumbers w:val="0"/>
              <w:spacing w:before="0" w:beforeAutospacing="0" w:after="0" w:afterAutospacing="0"/>
              <w:ind w:left="0" w:right="0"/>
              <w:jc w:val="center"/>
              <w:rPr>
                <w:rFonts w:hint="default" w:eastAsia="仿宋"/>
                <w:b/>
                <w:bCs/>
                <w:color w:val="auto"/>
                <w:kern w:val="0"/>
                <w:sz w:val="21"/>
                <w:szCs w:val="21"/>
                <w:highlight w:val="none"/>
              </w:rPr>
            </w:pPr>
            <w:r>
              <w:rPr>
                <w:rFonts w:hint="eastAsia" w:eastAsia="仿宋"/>
                <w:b/>
                <w:bCs/>
                <w:color w:val="auto"/>
                <w:kern w:val="0"/>
                <w:sz w:val="21"/>
                <w:szCs w:val="21"/>
                <w:highlight w:val="none"/>
              </w:rPr>
              <w:t>检查因素</w:t>
            </w:r>
          </w:p>
        </w:tc>
        <w:tc>
          <w:tcPr>
            <w:tcW w:w="5211" w:type="dxa"/>
            <w:vAlign w:val="center"/>
          </w:tcPr>
          <w:p>
            <w:pPr>
              <w:keepNext w:val="0"/>
              <w:keepLines w:val="0"/>
              <w:suppressLineNumbers w:val="0"/>
              <w:spacing w:before="0" w:beforeAutospacing="0" w:after="0" w:afterAutospacing="0"/>
              <w:ind w:left="0" w:right="0"/>
              <w:jc w:val="center"/>
              <w:rPr>
                <w:rFonts w:hint="default" w:eastAsia="仿宋"/>
                <w:b/>
                <w:bCs/>
                <w:color w:val="auto"/>
                <w:kern w:val="0"/>
                <w:sz w:val="21"/>
                <w:szCs w:val="21"/>
                <w:highlight w:val="none"/>
              </w:rPr>
            </w:pPr>
            <w:r>
              <w:rPr>
                <w:rFonts w:hint="eastAsia" w:eastAsia="仿宋"/>
                <w:b/>
                <w:bCs/>
                <w:color w:val="auto"/>
                <w:kern w:val="0"/>
                <w:sz w:val="21"/>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6" w:hRule="atLeast"/>
          <w:jc w:val="center"/>
        </w:trPr>
        <w:tc>
          <w:tcPr>
            <w:tcW w:w="750" w:type="dxa"/>
            <w:vMerge w:val="restart"/>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r>
              <w:rPr>
                <w:rFonts w:hint="eastAsia" w:eastAsia="仿宋"/>
                <w:color w:val="auto"/>
                <w:kern w:val="0"/>
                <w:sz w:val="21"/>
                <w:szCs w:val="21"/>
                <w:highlight w:val="none"/>
              </w:rPr>
              <w:t>（一）</w:t>
            </w:r>
          </w:p>
        </w:tc>
        <w:tc>
          <w:tcPr>
            <w:tcW w:w="1547" w:type="dxa"/>
            <w:vMerge w:val="restart"/>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r>
              <w:rPr>
                <w:rFonts w:hint="eastAsia" w:eastAsia="仿宋"/>
                <w:color w:val="auto"/>
                <w:kern w:val="0"/>
                <w:sz w:val="21"/>
                <w:szCs w:val="21"/>
                <w:highlight w:val="none"/>
              </w:rPr>
              <w:t>《中华人民共和国政府采购法》第二十二条规定</w:t>
            </w:r>
          </w:p>
        </w:tc>
        <w:tc>
          <w:tcPr>
            <w:tcW w:w="1724"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1.具有独立承担民事责任的能力</w:t>
            </w:r>
          </w:p>
        </w:tc>
        <w:tc>
          <w:tcPr>
            <w:tcW w:w="5211"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1.供应商法人营业执照（副本）或事业单位法人证书（副本）或个体工商户营业执照或有效的自然人身份证明或社会团体法人登记证书（提供复印件）；</w:t>
            </w:r>
          </w:p>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供应商法定代表人身份证明书和法定代表人授权代表委托书。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9" w:hRule="atLeast"/>
          <w:jc w:val="center"/>
        </w:trPr>
        <w:tc>
          <w:tcPr>
            <w:tcW w:w="750"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547"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4"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2.具有良好的商业信誉和健全的财务会计制度</w:t>
            </w:r>
          </w:p>
        </w:tc>
        <w:tc>
          <w:tcPr>
            <w:tcW w:w="5211" w:type="dxa"/>
            <w:vMerge w:val="restart"/>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2-5项供应商提供“基本资格条件承诺函”（格式见</w:t>
            </w:r>
            <w:r>
              <w:rPr>
                <w:rFonts w:hint="eastAsia" w:eastAsia="仿宋"/>
                <w:color w:val="auto"/>
                <w:kern w:val="0"/>
                <w:sz w:val="21"/>
                <w:szCs w:val="21"/>
                <w:highlight w:val="none"/>
                <w:lang w:eastAsia="zh-CN"/>
              </w:rPr>
              <w:t>第六篇</w:t>
            </w:r>
            <w:r>
              <w:rPr>
                <w:rFonts w:hint="eastAsia" w:eastAsia="仿宋"/>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50"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547"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4"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3.具有履行合同所必需的设备和专业技术能力</w:t>
            </w:r>
          </w:p>
        </w:tc>
        <w:tc>
          <w:tcPr>
            <w:tcW w:w="5211" w:type="dxa"/>
            <w:vMerge w:val="continue"/>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750"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547"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4"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4.有依法缴纳税收和社会保障金的良好记录</w:t>
            </w:r>
          </w:p>
        </w:tc>
        <w:tc>
          <w:tcPr>
            <w:tcW w:w="5211" w:type="dxa"/>
            <w:vMerge w:val="continue"/>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6" w:hRule="atLeast"/>
          <w:jc w:val="center"/>
        </w:trPr>
        <w:tc>
          <w:tcPr>
            <w:tcW w:w="750"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547"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4"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5.参加政府采购活动前三年内，在经营活动中没有重大违法记录</w:t>
            </w:r>
          </w:p>
        </w:tc>
        <w:tc>
          <w:tcPr>
            <w:tcW w:w="5211" w:type="dxa"/>
            <w:vMerge w:val="continue"/>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750"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547"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4"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6.法律、行政法规规定的其他条件</w:t>
            </w:r>
          </w:p>
        </w:tc>
        <w:tc>
          <w:tcPr>
            <w:tcW w:w="5211"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50"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547"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4"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7.特定资格条件</w:t>
            </w:r>
          </w:p>
        </w:tc>
        <w:tc>
          <w:tcPr>
            <w:tcW w:w="5211" w:type="dxa"/>
            <w:vAlign w:val="center"/>
          </w:tcPr>
          <w:p>
            <w:pPr>
              <w:keepNext w:val="0"/>
              <w:keepLines w:val="0"/>
              <w:suppressLineNumbers w:val="0"/>
              <w:spacing w:before="0" w:beforeAutospacing="0" w:after="0" w:afterAutospacing="0"/>
              <w:ind w:left="0" w:right="0"/>
              <w:jc w:val="left"/>
              <w:rPr>
                <w:rFonts w:hint="eastAsia" w:eastAsia="仿宋"/>
                <w:color w:val="auto"/>
                <w:kern w:val="0"/>
                <w:sz w:val="21"/>
                <w:szCs w:val="21"/>
                <w:highlight w:val="none"/>
                <w:lang w:val="en-US" w:eastAsia="zh-CN"/>
              </w:rPr>
            </w:pPr>
            <w:r>
              <w:rPr>
                <w:rFonts w:hint="default" w:ascii="Times New Roman" w:hAnsi="Times New Roman" w:eastAsia="方正仿宋_GBK"/>
                <w:color w:val="000000"/>
                <w:sz w:val="21"/>
                <w:szCs w:val="21"/>
                <w:highlight w:val="none"/>
              </w:rPr>
              <w:t>按“供应商特定资格条件”的要求提交</w:t>
            </w:r>
          </w:p>
        </w:tc>
      </w:tr>
    </w:tbl>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2.符合性审查。依据</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文件的规定，从响应文件的有效性、完整性和对</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文件的响应程度进行审查，以确定是否对</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文件的实质性要求作出响应。符合性审查资料表如下：</w:t>
      </w:r>
    </w:p>
    <w:tbl>
      <w:tblPr>
        <w:tblStyle w:val="24"/>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722"/>
        <w:gridCol w:w="1723"/>
        <w:gridCol w:w="5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74" w:type="dxa"/>
            <w:vAlign w:val="center"/>
          </w:tcPr>
          <w:p>
            <w:pPr>
              <w:keepNext w:val="0"/>
              <w:keepLines w:val="0"/>
              <w:suppressLineNumbers w:val="0"/>
              <w:spacing w:before="0" w:beforeAutospacing="0" w:after="0" w:afterAutospacing="0"/>
              <w:ind w:left="0" w:right="0"/>
              <w:jc w:val="center"/>
              <w:rPr>
                <w:rFonts w:hint="default" w:eastAsia="仿宋"/>
                <w:b/>
                <w:color w:val="auto"/>
                <w:kern w:val="0"/>
                <w:sz w:val="21"/>
                <w:szCs w:val="21"/>
                <w:highlight w:val="none"/>
              </w:rPr>
            </w:pPr>
            <w:r>
              <w:rPr>
                <w:rFonts w:hint="eastAsia" w:eastAsia="仿宋"/>
                <w:b/>
                <w:color w:val="auto"/>
                <w:kern w:val="0"/>
                <w:sz w:val="21"/>
                <w:szCs w:val="21"/>
                <w:highlight w:val="none"/>
              </w:rPr>
              <w:t>序号</w:t>
            </w:r>
          </w:p>
        </w:tc>
        <w:tc>
          <w:tcPr>
            <w:tcW w:w="3445" w:type="dxa"/>
            <w:gridSpan w:val="2"/>
            <w:vAlign w:val="center"/>
          </w:tcPr>
          <w:p>
            <w:pPr>
              <w:keepNext w:val="0"/>
              <w:keepLines w:val="0"/>
              <w:suppressLineNumbers w:val="0"/>
              <w:spacing w:before="0" w:beforeAutospacing="0" w:after="0" w:afterAutospacing="0"/>
              <w:ind w:left="0" w:right="0"/>
              <w:jc w:val="center"/>
              <w:rPr>
                <w:rFonts w:hint="default" w:eastAsia="仿宋"/>
                <w:b/>
                <w:color w:val="auto"/>
                <w:kern w:val="0"/>
                <w:sz w:val="21"/>
                <w:szCs w:val="21"/>
                <w:highlight w:val="none"/>
              </w:rPr>
            </w:pPr>
            <w:r>
              <w:rPr>
                <w:rFonts w:hint="eastAsia" w:eastAsia="仿宋"/>
                <w:b/>
                <w:color w:val="auto"/>
                <w:kern w:val="0"/>
                <w:sz w:val="21"/>
                <w:szCs w:val="21"/>
                <w:highlight w:val="none"/>
              </w:rPr>
              <w:t>评审因素</w:t>
            </w:r>
          </w:p>
        </w:tc>
        <w:tc>
          <w:tcPr>
            <w:tcW w:w="5058" w:type="dxa"/>
            <w:vAlign w:val="center"/>
          </w:tcPr>
          <w:p>
            <w:pPr>
              <w:keepNext w:val="0"/>
              <w:keepLines w:val="0"/>
              <w:suppressLineNumbers w:val="0"/>
              <w:spacing w:before="0" w:beforeAutospacing="0" w:after="0" w:afterAutospacing="0"/>
              <w:ind w:left="0" w:right="0"/>
              <w:jc w:val="center"/>
              <w:rPr>
                <w:rFonts w:hint="default" w:eastAsia="仿宋"/>
                <w:b/>
                <w:color w:val="auto"/>
                <w:kern w:val="0"/>
                <w:sz w:val="21"/>
                <w:szCs w:val="21"/>
                <w:highlight w:val="none"/>
              </w:rPr>
            </w:pPr>
            <w:r>
              <w:rPr>
                <w:rFonts w:hint="eastAsia" w:eastAsia="仿宋"/>
                <w:b/>
                <w:color w:val="auto"/>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74" w:type="dxa"/>
            <w:vMerge w:val="restart"/>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r>
              <w:rPr>
                <w:rFonts w:hint="eastAsia" w:eastAsia="仿宋"/>
                <w:color w:val="auto"/>
                <w:kern w:val="0"/>
                <w:sz w:val="21"/>
                <w:szCs w:val="21"/>
                <w:highlight w:val="none"/>
              </w:rPr>
              <w:t>1</w:t>
            </w:r>
          </w:p>
        </w:tc>
        <w:tc>
          <w:tcPr>
            <w:tcW w:w="1722" w:type="dxa"/>
            <w:vMerge w:val="restart"/>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r>
              <w:rPr>
                <w:rFonts w:hint="eastAsia" w:eastAsia="仿宋"/>
                <w:color w:val="auto"/>
                <w:kern w:val="0"/>
                <w:sz w:val="21"/>
                <w:szCs w:val="21"/>
                <w:highlight w:val="none"/>
              </w:rPr>
              <w:t>有效性审查</w:t>
            </w:r>
          </w:p>
        </w:tc>
        <w:tc>
          <w:tcPr>
            <w:tcW w:w="1723"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sz w:val="22"/>
                <w:szCs w:val="22"/>
                <w:highlight w:val="none"/>
              </w:rPr>
              <w:t>响应文件签署</w:t>
            </w:r>
          </w:p>
        </w:tc>
        <w:tc>
          <w:tcPr>
            <w:tcW w:w="5058"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sz w:val="22"/>
                <w:szCs w:val="22"/>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74"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2"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3" w:type="dxa"/>
            <w:vAlign w:val="center"/>
          </w:tcPr>
          <w:p>
            <w:pPr>
              <w:keepNext w:val="0"/>
              <w:keepLines w:val="0"/>
              <w:suppressLineNumbers w:val="0"/>
              <w:spacing w:before="0" w:beforeAutospacing="0" w:after="0" w:afterAutospacing="0"/>
              <w:ind w:left="0" w:right="0"/>
              <w:jc w:val="left"/>
              <w:rPr>
                <w:rFonts w:hint="default" w:eastAsia="仿宋"/>
                <w:color w:val="auto"/>
                <w:sz w:val="22"/>
                <w:szCs w:val="22"/>
                <w:highlight w:val="none"/>
                <w:lang w:val="zh-CN"/>
              </w:rPr>
            </w:pPr>
            <w:r>
              <w:rPr>
                <w:rFonts w:hint="eastAsia" w:eastAsia="仿宋"/>
                <w:color w:val="auto"/>
                <w:sz w:val="22"/>
                <w:szCs w:val="22"/>
                <w:highlight w:val="none"/>
              </w:rPr>
              <w:t>响应</w:t>
            </w:r>
            <w:r>
              <w:rPr>
                <w:rFonts w:hint="eastAsia" w:eastAsia="仿宋"/>
                <w:color w:val="auto"/>
                <w:sz w:val="22"/>
                <w:szCs w:val="22"/>
                <w:highlight w:val="none"/>
                <w:lang w:val="zh-CN"/>
              </w:rPr>
              <w:t>方案</w:t>
            </w:r>
          </w:p>
        </w:tc>
        <w:tc>
          <w:tcPr>
            <w:tcW w:w="5058"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sz w:val="22"/>
                <w:szCs w:val="22"/>
                <w:highlight w:val="none"/>
                <w:lang w:val="zh-CN"/>
              </w:rPr>
              <w:t>每个分包只能有一个</w:t>
            </w:r>
            <w:r>
              <w:rPr>
                <w:rFonts w:hint="eastAsia" w:eastAsia="仿宋"/>
                <w:color w:val="auto"/>
                <w:sz w:val="22"/>
                <w:szCs w:val="22"/>
                <w:highlight w:val="none"/>
              </w:rPr>
              <w:t>响应</w:t>
            </w:r>
            <w:r>
              <w:rPr>
                <w:rFonts w:hint="eastAsia" w:eastAsia="仿宋"/>
                <w:color w:val="auto"/>
                <w:sz w:val="22"/>
                <w:szCs w:val="22"/>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74"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2"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3" w:type="dxa"/>
            <w:vAlign w:val="center"/>
          </w:tcPr>
          <w:p>
            <w:pPr>
              <w:keepNext w:val="0"/>
              <w:keepLines w:val="0"/>
              <w:suppressLineNumbers w:val="0"/>
              <w:spacing w:before="0" w:beforeAutospacing="0" w:after="0" w:afterAutospacing="0"/>
              <w:ind w:left="0" w:right="0"/>
              <w:jc w:val="left"/>
              <w:rPr>
                <w:rFonts w:hint="default" w:eastAsia="仿宋"/>
                <w:color w:val="auto"/>
                <w:sz w:val="22"/>
                <w:szCs w:val="22"/>
                <w:highlight w:val="none"/>
                <w:lang w:val="zh-CN"/>
              </w:rPr>
            </w:pPr>
            <w:r>
              <w:rPr>
                <w:rFonts w:hint="eastAsia" w:eastAsia="仿宋"/>
                <w:color w:val="auto"/>
                <w:sz w:val="22"/>
                <w:szCs w:val="22"/>
                <w:highlight w:val="none"/>
              </w:rPr>
              <w:t>报价唯一</w:t>
            </w:r>
          </w:p>
        </w:tc>
        <w:tc>
          <w:tcPr>
            <w:tcW w:w="5058"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default" w:ascii="Times New Roman" w:hAnsi="Times New Roman" w:eastAsia="方正仿宋_GBK"/>
                <w:color w:val="000000"/>
                <w:sz w:val="22"/>
                <w:szCs w:val="22"/>
                <w:highlight w:val="none"/>
              </w:rPr>
              <w:t>根据评审现场查验表，检查报价纸质件是否只有一个报价，U盘中电子报价表是否只有一个，报价栏是否只有一个报价，</w:t>
            </w:r>
            <w:r>
              <w:rPr>
                <w:rFonts w:hint="default" w:ascii="Times New Roman" w:hAnsi="Times New Roman" w:eastAsia="方正仿宋_GBK"/>
                <w:color w:val="000000"/>
                <w:sz w:val="22"/>
                <w:szCs w:val="22"/>
                <w:highlight w:val="none"/>
                <w:lang w:val="zh-CN"/>
              </w:rPr>
              <w:t>是否在限价范围内报价，</w:t>
            </w:r>
            <w:r>
              <w:rPr>
                <w:rFonts w:hint="default" w:ascii="Times New Roman" w:hAnsi="Times New Roman" w:eastAsia="方正仿宋_GBK"/>
                <w:color w:val="000000"/>
                <w:sz w:val="22"/>
                <w:szCs w:val="22"/>
                <w:highlight w:val="none"/>
              </w:rPr>
              <w:t>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74" w:type="dxa"/>
            <w:vMerge w:val="restart"/>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r>
              <w:rPr>
                <w:rFonts w:hint="eastAsia" w:eastAsia="仿宋"/>
                <w:color w:val="auto"/>
                <w:kern w:val="0"/>
                <w:sz w:val="21"/>
                <w:szCs w:val="21"/>
                <w:highlight w:val="none"/>
              </w:rPr>
              <w:t>2</w:t>
            </w:r>
          </w:p>
        </w:tc>
        <w:tc>
          <w:tcPr>
            <w:tcW w:w="1722" w:type="dxa"/>
            <w:vMerge w:val="restart"/>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r>
              <w:rPr>
                <w:rFonts w:hint="eastAsia" w:eastAsia="仿宋"/>
                <w:color w:val="auto"/>
                <w:kern w:val="0"/>
                <w:sz w:val="21"/>
                <w:szCs w:val="21"/>
                <w:highlight w:val="none"/>
              </w:rPr>
              <w:t>完整性审查</w:t>
            </w:r>
          </w:p>
        </w:tc>
        <w:tc>
          <w:tcPr>
            <w:tcW w:w="1723"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sz w:val="22"/>
                <w:szCs w:val="22"/>
                <w:highlight w:val="none"/>
              </w:rPr>
              <w:t>响应</w:t>
            </w:r>
            <w:r>
              <w:rPr>
                <w:rFonts w:hint="eastAsia" w:eastAsia="仿宋"/>
                <w:color w:val="auto"/>
                <w:sz w:val="22"/>
                <w:szCs w:val="22"/>
                <w:highlight w:val="none"/>
                <w:lang w:val="zh-CN"/>
              </w:rPr>
              <w:t>文件份数</w:t>
            </w:r>
          </w:p>
        </w:tc>
        <w:tc>
          <w:tcPr>
            <w:tcW w:w="5058"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sz w:val="22"/>
                <w:szCs w:val="22"/>
                <w:highlight w:val="none"/>
              </w:rPr>
              <w:t>响应</w:t>
            </w:r>
            <w:r>
              <w:rPr>
                <w:rFonts w:hint="eastAsia" w:eastAsia="仿宋"/>
                <w:color w:val="auto"/>
                <w:sz w:val="22"/>
                <w:szCs w:val="22"/>
                <w:highlight w:val="none"/>
                <w:lang w:val="zh-CN"/>
              </w:rPr>
              <w:t>文件正、副本数量符合</w:t>
            </w:r>
            <w:r>
              <w:rPr>
                <w:rFonts w:hint="eastAsia" w:eastAsia="仿宋"/>
                <w:color w:val="auto"/>
                <w:sz w:val="22"/>
                <w:szCs w:val="22"/>
                <w:highlight w:val="none"/>
                <w:lang w:eastAsia="zh-CN"/>
              </w:rPr>
              <w:t>遴选</w:t>
            </w:r>
            <w:r>
              <w:rPr>
                <w:rFonts w:hint="eastAsia" w:eastAsia="仿宋"/>
                <w:color w:val="auto"/>
                <w:sz w:val="22"/>
                <w:szCs w:val="22"/>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74"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2"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3" w:type="dxa"/>
            <w:vAlign w:val="center"/>
          </w:tcPr>
          <w:p>
            <w:pPr>
              <w:keepNext w:val="0"/>
              <w:keepLines w:val="0"/>
              <w:suppressLineNumbers w:val="0"/>
              <w:spacing w:before="0" w:beforeAutospacing="0" w:after="0" w:afterAutospacing="0"/>
              <w:ind w:left="0" w:right="0"/>
              <w:jc w:val="left"/>
              <w:rPr>
                <w:rFonts w:hint="default" w:eastAsia="仿宋"/>
                <w:color w:val="auto"/>
                <w:sz w:val="22"/>
                <w:szCs w:val="22"/>
                <w:highlight w:val="none"/>
                <w:lang w:val="zh-CN"/>
              </w:rPr>
            </w:pPr>
            <w:r>
              <w:rPr>
                <w:rFonts w:hint="eastAsia" w:eastAsia="仿宋"/>
                <w:color w:val="auto"/>
                <w:sz w:val="22"/>
                <w:szCs w:val="22"/>
                <w:highlight w:val="none"/>
              </w:rPr>
              <w:t>响应</w:t>
            </w:r>
            <w:r>
              <w:rPr>
                <w:rFonts w:hint="eastAsia" w:eastAsia="仿宋"/>
                <w:color w:val="auto"/>
                <w:sz w:val="22"/>
                <w:szCs w:val="22"/>
                <w:highlight w:val="none"/>
                <w:lang w:val="zh-CN"/>
              </w:rPr>
              <w:t>文件内容</w:t>
            </w:r>
          </w:p>
        </w:tc>
        <w:tc>
          <w:tcPr>
            <w:tcW w:w="5058" w:type="dxa"/>
            <w:vAlign w:val="center"/>
          </w:tcPr>
          <w:p>
            <w:pPr>
              <w:keepNext w:val="0"/>
              <w:keepLines w:val="0"/>
              <w:suppressLineNumbers w:val="0"/>
              <w:spacing w:before="0" w:beforeAutospacing="0" w:after="0" w:afterAutospacing="0"/>
              <w:ind w:left="0" w:right="0"/>
              <w:jc w:val="left"/>
              <w:rPr>
                <w:rFonts w:hint="default" w:eastAsia="仿宋"/>
                <w:color w:val="auto"/>
                <w:sz w:val="22"/>
                <w:szCs w:val="22"/>
                <w:highlight w:val="none"/>
                <w:lang w:val="zh-CN"/>
              </w:rPr>
            </w:pPr>
            <w:r>
              <w:rPr>
                <w:rFonts w:hint="eastAsia" w:eastAsia="仿宋"/>
                <w:color w:val="auto"/>
                <w:sz w:val="22"/>
                <w:szCs w:val="22"/>
                <w:highlight w:val="none"/>
              </w:rPr>
              <w:t>响应</w:t>
            </w:r>
            <w:r>
              <w:rPr>
                <w:rFonts w:hint="eastAsia" w:eastAsia="仿宋"/>
                <w:color w:val="auto"/>
                <w:sz w:val="22"/>
                <w:szCs w:val="22"/>
                <w:highlight w:val="none"/>
                <w:lang w:val="zh-CN"/>
              </w:rPr>
              <w:t>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74" w:type="dxa"/>
            <w:vMerge w:val="restart"/>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r>
              <w:rPr>
                <w:rFonts w:hint="eastAsia" w:eastAsia="仿宋"/>
                <w:color w:val="auto"/>
                <w:kern w:val="0"/>
                <w:sz w:val="21"/>
                <w:szCs w:val="21"/>
                <w:highlight w:val="none"/>
              </w:rPr>
              <w:t>3</w:t>
            </w:r>
          </w:p>
        </w:tc>
        <w:tc>
          <w:tcPr>
            <w:tcW w:w="1722" w:type="dxa"/>
            <w:vMerge w:val="restart"/>
            <w:vAlign w:val="center"/>
          </w:tcPr>
          <w:p>
            <w:pPr>
              <w:keepNext w:val="0"/>
              <w:keepLines w:val="0"/>
              <w:suppressLineNumbers w:val="0"/>
              <w:spacing w:before="0" w:beforeAutospacing="0" w:after="0" w:afterAutospacing="0"/>
              <w:ind w:left="0" w:right="0"/>
              <w:jc w:val="center"/>
              <w:rPr>
                <w:rFonts w:hint="default" w:eastAsia="仿宋"/>
                <w:color w:val="auto"/>
                <w:sz w:val="21"/>
                <w:szCs w:val="21"/>
                <w:highlight w:val="none"/>
                <w:lang w:val="zh-CN"/>
              </w:rPr>
            </w:pPr>
            <w:r>
              <w:rPr>
                <w:rFonts w:hint="eastAsia" w:eastAsia="仿宋"/>
                <w:color w:val="auto"/>
                <w:kern w:val="0"/>
                <w:sz w:val="21"/>
                <w:szCs w:val="21"/>
                <w:highlight w:val="none"/>
                <w:lang w:eastAsia="zh-CN"/>
              </w:rPr>
              <w:t>遴选</w:t>
            </w:r>
            <w:r>
              <w:rPr>
                <w:rFonts w:hint="eastAsia" w:eastAsia="仿宋"/>
                <w:color w:val="auto"/>
                <w:kern w:val="0"/>
                <w:sz w:val="21"/>
                <w:szCs w:val="21"/>
                <w:highlight w:val="none"/>
              </w:rPr>
              <w:t>文件的响应程度审查</w:t>
            </w:r>
          </w:p>
        </w:tc>
        <w:tc>
          <w:tcPr>
            <w:tcW w:w="1723"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kern w:val="0"/>
                <w:sz w:val="22"/>
                <w:szCs w:val="22"/>
                <w:highlight w:val="none"/>
              </w:rPr>
              <w:t>响应文件内容</w:t>
            </w:r>
          </w:p>
        </w:tc>
        <w:tc>
          <w:tcPr>
            <w:tcW w:w="5058" w:type="dxa"/>
            <w:vAlign w:val="center"/>
          </w:tcPr>
          <w:p>
            <w:pPr>
              <w:keepNext w:val="0"/>
              <w:keepLines w:val="0"/>
              <w:suppressLineNumbers w:val="0"/>
              <w:spacing w:before="0" w:beforeAutospacing="0" w:after="0" w:afterAutospacing="0" w:line="0" w:lineRule="atLeast"/>
              <w:ind w:left="0" w:right="0"/>
              <w:rPr>
                <w:rFonts w:hint="default" w:ascii="Times New Roman" w:hAnsi="Times New Roman" w:eastAsia="方正仿宋_GBK"/>
                <w:kern w:val="0"/>
                <w:sz w:val="22"/>
                <w:szCs w:val="22"/>
                <w:highlight w:val="none"/>
              </w:rPr>
            </w:pPr>
            <w:r>
              <w:rPr>
                <w:rFonts w:hint="default" w:ascii="Times New Roman" w:hAnsi="Times New Roman" w:eastAsia="方正仿宋_GBK"/>
                <w:kern w:val="0"/>
                <w:sz w:val="22"/>
                <w:szCs w:val="22"/>
                <w:highlight w:val="none"/>
              </w:rPr>
              <w:t>对</w:t>
            </w:r>
            <w:r>
              <w:rPr>
                <w:rFonts w:hint="default" w:ascii="Times New Roman" w:hAnsi="Times New Roman" w:eastAsia="方正仿宋_GBK"/>
                <w:color w:val="000000"/>
                <w:sz w:val="22"/>
                <w:szCs w:val="22"/>
                <w:highlight w:val="none"/>
                <w:lang w:val="zh-CN"/>
              </w:rPr>
              <w:t>遴选文件</w:t>
            </w:r>
            <w:r>
              <w:rPr>
                <w:rFonts w:hint="default" w:ascii="Times New Roman" w:hAnsi="Times New Roman" w:eastAsia="方正仿宋_GBK"/>
                <w:kern w:val="0"/>
                <w:sz w:val="22"/>
                <w:szCs w:val="22"/>
                <w:highlight w:val="none"/>
              </w:rPr>
              <w:t>第二篇内容作出响应；</w:t>
            </w:r>
          </w:p>
          <w:p>
            <w:pPr>
              <w:pStyle w:val="11"/>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default" w:ascii="Times New Roman" w:hAnsi="Times New Roman" w:eastAsia="方正仿宋_GBK"/>
                <w:kern w:val="0"/>
                <w:sz w:val="22"/>
                <w:szCs w:val="22"/>
                <w:highlight w:val="none"/>
              </w:rPr>
              <w:t>对</w:t>
            </w:r>
            <w:r>
              <w:rPr>
                <w:rFonts w:hint="default" w:ascii="Times New Roman" w:hAnsi="Times New Roman" w:eastAsia="方正仿宋_GBK"/>
                <w:color w:val="000000"/>
                <w:sz w:val="22"/>
                <w:szCs w:val="22"/>
                <w:highlight w:val="none"/>
                <w:lang w:val="zh-CN"/>
              </w:rPr>
              <w:t>遴选文件</w:t>
            </w:r>
            <w:r>
              <w:rPr>
                <w:rFonts w:hint="default" w:ascii="Times New Roman" w:hAnsi="Times New Roman" w:eastAsia="方正仿宋_GBK"/>
                <w:kern w:val="0"/>
                <w:sz w:val="22"/>
                <w:szCs w:val="22"/>
                <w:highlight w:val="none"/>
              </w:rPr>
              <w:t>第三篇内容作出响应，完全满足。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74" w:type="dxa"/>
            <w:vMerge w:val="continue"/>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p>
        </w:tc>
        <w:tc>
          <w:tcPr>
            <w:tcW w:w="1722" w:type="dxa"/>
            <w:vMerge w:val="continue"/>
            <w:vAlign w:val="center"/>
          </w:tcPr>
          <w:p>
            <w:pPr>
              <w:keepNext w:val="0"/>
              <w:keepLines w:val="0"/>
              <w:suppressLineNumbers w:val="0"/>
              <w:spacing w:before="0" w:beforeAutospacing="0" w:after="0" w:afterAutospacing="0"/>
              <w:ind w:left="0" w:right="0"/>
              <w:jc w:val="left"/>
              <w:rPr>
                <w:rFonts w:hint="default" w:eastAsia="仿宋"/>
                <w:color w:val="auto"/>
                <w:sz w:val="21"/>
                <w:szCs w:val="21"/>
                <w:highlight w:val="none"/>
                <w:lang w:val="zh-CN"/>
              </w:rPr>
            </w:pPr>
          </w:p>
        </w:tc>
        <w:tc>
          <w:tcPr>
            <w:tcW w:w="1723"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kern w:val="0"/>
                <w:sz w:val="22"/>
                <w:szCs w:val="22"/>
                <w:highlight w:val="none"/>
                <w:lang w:eastAsia="zh-CN"/>
              </w:rPr>
              <w:t>遴选</w:t>
            </w:r>
            <w:r>
              <w:rPr>
                <w:rFonts w:hint="eastAsia" w:eastAsia="仿宋"/>
                <w:color w:val="auto"/>
                <w:kern w:val="0"/>
                <w:sz w:val="22"/>
                <w:szCs w:val="22"/>
                <w:highlight w:val="none"/>
              </w:rPr>
              <w:t>有效期</w:t>
            </w:r>
          </w:p>
        </w:tc>
        <w:tc>
          <w:tcPr>
            <w:tcW w:w="5058"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kern w:val="0"/>
                <w:sz w:val="22"/>
                <w:szCs w:val="22"/>
                <w:highlight w:val="none"/>
              </w:rPr>
              <w:t>响应文件及有关承诺文件有效期为提交响应文件截止时间起90天</w:t>
            </w:r>
          </w:p>
        </w:tc>
      </w:tr>
    </w:tbl>
    <w:p>
      <w:pPr>
        <w:spacing w:before="156" w:after="156" w:line="520" w:lineRule="exact"/>
        <w:ind w:firstLine="438" w:firstLineChars="200"/>
        <w:jc w:val="left"/>
        <w:outlineLvl w:val="1"/>
        <w:rPr>
          <w:rFonts w:hint="eastAsia" w:ascii="Times New Roman" w:hAnsi="Times New Roman" w:eastAsia="仿宋" w:cs="宋体"/>
          <w:b/>
          <w:bCs/>
          <w:color w:val="auto"/>
          <w:szCs w:val="28"/>
          <w:highlight w:val="none"/>
          <w:lang w:eastAsia="zh-CN"/>
        </w:rPr>
      </w:pPr>
      <w:bookmarkStart w:id="314" w:name="_Toc14750"/>
      <w:bookmarkStart w:id="315" w:name="_Toc7410"/>
      <w:bookmarkStart w:id="316" w:name="_Toc981"/>
      <w:bookmarkStart w:id="317" w:name="_Toc13978"/>
      <w:bookmarkStart w:id="318" w:name="_Toc20991"/>
      <w:bookmarkStart w:id="319" w:name="_Toc32625"/>
      <w:bookmarkStart w:id="320" w:name="_Toc3255"/>
      <w:bookmarkStart w:id="321" w:name="_Toc6010"/>
      <w:bookmarkStart w:id="322" w:name="_Toc5083"/>
      <w:bookmarkStart w:id="323" w:name="_Toc5149"/>
      <w:bookmarkStart w:id="324" w:name="_Toc9513"/>
      <w:bookmarkStart w:id="325" w:name="_Toc28674"/>
      <w:bookmarkStart w:id="326" w:name="_Toc20066"/>
      <w:bookmarkStart w:id="327" w:name="_Toc8366"/>
      <w:bookmarkStart w:id="328" w:name="_Toc32741"/>
      <w:bookmarkStart w:id="329" w:name="_Toc25800"/>
      <w:bookmarkStart w:id="330" w:name="_Toc29339"/>
      <w:bookmarkStart w:id="331" w:name="_Toc861"/>
      <w:bookmarkStart w:id="332" w:name="_Toc8521"/>
      <w:bookmarkStart w:id="333" w:name="_Toc31146"/>
      <w:bookmarkStart w:id="334" w:name="_Toc15483"/>
      <w:bookmarkStart w:id="335" w:name="_Toc9744"/>
      <w:bookmarkStart w:id="336" w:name="_Toc4709"/>
      <w:bookmarkStart w:id="337" w:name="_Toc48837317"/>
      <w:bookmarkStart w:id="338" w:name="_Toc32094"/>
      <w:bookmarkStart w:id="339" w:name="_Toc31234"/>
      <w:r>
        <w:rPr>
          <w:rFonts w:hint="eastAsia" w:ascii="Times New Roman" w:hAnsi="Times New Roman" w:eastAsia="仿宋" w:cs="宋体"/>
          <w:b/>
          <w:bCs/>
          <w:color w:val="auto"/>
          <w:szCs w:val="28"/>
          <w:highlight w:val="none"/>
          <w:lang w:eastAsia="zh-CN"/>
        </w:rPr>
        <w:t>二、评审方法</w:t>
      </w:r>
    </w:p>
    <w:p>
      <w:pPr>
        <w:keepNext w:val="0"/>
        <w:keepLines w:val="0"/>
        <w:pageBreakBefore w:val="0"/>
        <w:widowControl w:val="0"/>
        <w:kinsoku/>
        <w:wordWrap/>
        <w:overflowPunct/>
        <w:topLinePunct w:val="0"/>
        <w:autoSpaceDE/>
        <w:autoSpaceDN/>
        <w:bidi w:val="0"/>
        <w:adjustRightInd/>
        <w:snapToGrid/>
        <w:spacing w:line="520" w:lineRule="exact"/>
        <w:ind w:firstLine="438" w:firstLineChars="200"/>
        <w:jc w:val="left"/>
        <w:textAlignment w:val="auto"/>
        <w:rPr>
          <w:rFonts w:ascii="Times New Roman" w:hAnsi="Times New Roman" w:eastAsia="方正仿宋_GBK"/>
          <w:color w:val="000000"/>
          <w:kern w:val="0"/>
          <w:szCs w:val="28"/>
          <w:highlight w:val="none"/>
        </w:rPr>
      </w:pPr>
      <w:r>
        <w:rPr>
          <w:rFonts w:ascii="Times New Roman" w:hAnsi="Times New Roman" w:eastAsia="方正仿宋_GBK"/>
          <w:color w:val="000000"/>
          <w:kern w:val="0"/>
          <w:szCs w:val="28"/>
          <w:highlight w:val="none"/>
        </w:rPr>
        <w:t>本项目采用综合评分法进行评审。</w:t>
      </w:r>
    </w:p>
    <w:p>
      <w:pPr>
        <w:keepNext w:val="0"/>
        <w:keepLines w:val="0"/>
        <w:pageBreakBefore w:val="0"/>
        <w:widowControl w:val="0"/>
        <w:kinsoku/>
        <w:wordWrap/>
        <w:overflowPunct/>
        <w:topLinePunct w:val="0"/>
        <w:autoSpaceDE/>
        <w:autoSpaceDN/>
        <w:bidi w:val="0"/>
        <w:adjustRightInd/>
        <w:snapToGrid/>
        <w:spacing w:line="520" w:lineRule="exact"/>
        <w:ind w:firstLine="438" w:firstLineChars="200"/>
        <w:jc w:val="left"/>
        <w:textAlignment w:val="auto"/>
        <w:rPr>
          <w:rFonts w:ascii="Times New Roman" w:hAnsi="Times New Roman" w:eastAsia="方正仿宋_GBK"/>
          <w:color w:val="000000"/>
          <w:kern w:val="0"/>
          <w:szCs w:val="28"/>
          <w:highlight w:val="none"/>
        </w:rPr>
      </w:pPr>
      <w:r>
        <w:rPr>
          <w:rFonts w:ascii="Times New Roman" w:hAnsi="Times New Roman" w:eastAsia="方正仿宋_GBK"/>
          <w:color w:val="000000"/>
          <w:kern w:val="0"/>
          <w:szCs w:val="28"/>
          <w:highlight w:val="none"/>
        </w:rPr>
        <w:t>综合评分法，是指响应文件满足遴选文件全部实质性要求且按照评审因素的量化指标评审得分最高的供应商为成交供应商的评标方法。供应商总得分为价格、商务、技术等评定因素分别按照相应权重值计算分项得分后相加，满分为100分。</w:t>
      </w:r>
    </w:p>
    <w:p>
      <w:pPr>
        <w:keepNext w:val="0"/>
        <w:keepLines w:val="0"/>
        <w:pageBreakBefore w:val="0"/>
        <w:widowControl w:val="0"/>
        <w:kinsoku/>
        <w:wordWrap/>
        <w:overflowPunct/>
        <w:topLinePunct w:val="0"/>
        <w:autoSpaceDE/>
        <w:autoSpaceDN/>
        <w:bidi w:val="0"/>
        <w:adjustRightInd/>
        <w:snapToGrid/>
        <w:spacing w:line="520" w:lineRule="exact"/>
        <w:ind w:firstLine="438" w:firstLineChars="200"/>
        <w:jc w:val="left"/>
        <w:textAlignment w:val="auto"/>
        <w:rPr>
          <w:rFonts w:ascii="Times New Roman" w:hAnsi="Times New Roman" w:eastAsia="方正仿宋_GBK"/>
          <w:color w:val="000000"/>
          <w:kern w:val="0"/>
          <w:szCs w:val="28"/>
          <w:highlight w:val="none"/>
        </w:rPr>
      </w:pPr>
      <w:r>
        <w:rPr>
          <w:rFonts w:ascii="Times New Roman" w:hAnsi="Times New Roman" w:eastAsia="方正仿宋_GBK"/>
          <w:color w:val="000000"/>
          <w:kern w:val="0"/>
          <w:szCs w:val="28"/>
          <w:highlight w:val="none"/>
        </w:rPr>
        <w:t>澄清有关问题。对响应文件中含义不明确、同类问题表述不一致或者有明显文字和计算错误的内容，评审小组可以书面形式（应当由评审小组成员签字）要求供应商作出必要澄清、说明或者纠正。供应商的澄清、说明或者补正应当采用书面形式，由其法定代表人（或其授权代表）或自然人（供应商为自然人）签字，其澄清的内容不得超出响应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line="520" w:lineRule="exact"/>
        <w:ind w:firstLine="438" w:firstLineChars="200"/>
        <w:jc w:val="left"/>
        <w:textAlignment w:val="auto"/>
        <w:rPr>
          <w:rFonts w:ascii="Times New Roman" w:hAnsi="Times New Roman" w:eastAsia="方正仿宋_GBK"/>
          <w:color w:val="000000"/>
          <w:kern w:val="0"/>
          <w:szCs w:val="28"/>
          <w:highlight w:val="none"/>
        </w:rPr>
      </w:pPr>
      <w:r>
        <w:rPr>
          <w:rFonts w:ascii="Times New Roman" w:hAnsi="Times New Roman" w:eastAsia="方正仿宋_GBK"/>
          <w:color w:val="000000"/>
          <w:kern w:val="0"/>
          <w:szCs w:val="28"/>
          <w:highlight w:val="none"/>
        </w:rPr>
        <w:t>（一）比较与评价。按遴选文件中规定的评标方法和标准，对资格审查和符合性审查合格的响应文件进行商务和技术评估。</w:t>
      </w:r>
    </w:p>
    <w:p>
      <w:pPr>
        <w:keepNext w:val="0"/>
        <w:keepLines w:val="0"/>
        <w:pageBreakBefore w:val="0"/>
        <w:widowControl w:val="0"/>
        <w:kinsoku/>
        <w:wordWrap/>
        <w:overflowPunct/>
        <w:topLinePunct w:val="0"/>
        <w:autoSpaceDE/>
        <w:autoSpaceDN/>
        <w:bidi w:val="0"/>
        <w:adjustRightInd/>
        <w:snapToGrid/>
        <w:spacing w:line="520" w:lineRule="exact"/>
        <w:ind w:firstLine="438" w:firstLineChars="200"/>
        <w:jc w:val="left"/>
        <w:textAlignment w:val="auto"/>
        <w:rPr>
          <w:rFonts w:ascii="Times New Roman" w:hAnsi="Times New Roman" w:eastAsia="方正仿宋_GBK"/>
          <w:color w:val="000000"/>
          <w:kern w:val="0"/>
          <w:szCs w:val="28"/>
          <w:highlight w:val="none"/>
        </w:rPr>
      </w:pPr>
      <w:r>
        <w:rPr>
          <w:rFonts w:ascii="Times New Roman" w:hAnsi="Times New Roman" w:eastAsia="方正仿宋_GBK"/>
          <w:color w:val="000000"/>
          <w:kern w:val="0"/>
          <w:szCs w:val="28"/>
          <w:highlight w:val="none"/>
        </w:rPr>
        <w:t>（二）推荐成交供应商名单。</w:t>
      </w:r>
    </w:p>
    <w:p>
      <w:pPr>
        <w:keepNext w:val="0"/>
        <w:keepLines w:val="0"/>
        <w:pageBreakBefore w:val="0"/>
        <w:widowControl w:val="0"/>
        <w:kinsoku/>
        <w:wordWrap/>
        <w:overflowPunct/>
        <w:topLinePunct w:val="0"/>
        <w:autoSpaceDE/>
        <w:autoSpaceDN/>
        <w:bidi w:val="0"/>
        <w:adjustRightInd/>
        <w:snapToGrid/>
        <w:spacing w:line="520" w:lineRule="exact"/>
        <w:ind w:firstLine="438" w:firstLineChars="200"/>
        <w:jc w:val="left"/>
        <w:textAlignment w:val="auto"/>
        <w:rPr>
          <w:rFonts w:hint="eastAsia" w:eastAsia="仿宋" w:cs="宋体"/>
          <w:b/>
          <w:bCs/>
          <w:color w:val="auto"/>
          <w:sz w:val="28"/>
          <w:szCs w:val="28"/>
          <w:highlight w:val="none"/>
          <w:lang w:eastAsia="zh-CN"/>
        </w:rPr>
      </w:pPr>
      <w:r>
        <w:rPr>
          <w:rFonts w:ascii="Times New Roman" w:hAnsi="Times New Roman" w:eastAsia="方正仿宋_GBK"/>
          <w:color w:val="000000"/>
          <w:kern w:val="0"/>
          <w:szCs w:val="28"/>
          <w:highlight w:val="none"/>
        </w:rPr>
        <w:t>评审小组对每个实质性响应文件进行评价、打分，然后汇总每个供应商每项评分因素的得分，并根据综合评分情况按照评审得分由高到低顺序推荐成交候选供应商。若供应商的评审得分相同的，按照报价由低到高的顺序排列推荐。评审得分且最后报价相同的，抓阄确定成交供应商。</w:t>
      </w:r>
    </w:p>
    <w:p>
      <w:pPr>
        <w:spacing w:before="156" w:after="156" w:line="520" w:lineRule="exact"/>
        <w:ind w:firstLine="438" w:firstLineChars="200"/>
        <w:jc w:val="left"/>
        <w:outlineLvl w:val="1"/>
        <w:rPr>
          <w:rFonts w:hint="eastAsia" w:ascii="Times New Roman" w:hAnsi="Times New Roman" w:eastAsia="仿宋" w:cs="宋体"/>
          <w:b/>
          <w:bCs/>
          <w:color w:val="auto"/>
          <w:szCs w:val="28"/>
          <w:highlight w:val="none"/>
        </w:rPr>
      </w:pPr>
      <w:r>
        <w:rPr>
          <w:rFonts w:hint="eastAsia" w:ascii="Times New Roman" w:hAnsi="Times New Roman" w:eastAsia="仿宋" w:cs="宋体"/>
          <w:b/>
          <w:bCs/>
          <w:color w:val="auto"/>
          <w:szCs w:val="28"/>
          <w:highlight w:val="none"/>
          <w:lang w:eastAsia="zh-CN"/>
        </w:rPr>
        <w:t>三、</w:t>
      </w:r>
      <w:r>
        <w:rPr>
          <w:rFonts w:hint="eastAsia" w:ascii="Times New Roman" w:hAnsi="Times New Roman" w:eastAsia="仿宋" w:cs="宋体"/>
          <w:b/>
          <w:bCs/>
          <w:color w:val="auto"/>
          <w:szCs w:val="28"/>
          <w:highlight w:val="none"/>
        </w:rPr>
        <w:t>评审标准</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7"/>
        <w:gridCol w:w="924"/>
        <w:gridCol w:w="1071"/>
        <w:gridCol w:w="718"/>
        <w:gridCol w:w="5450"/>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eastAsia="方正仿宋_GBK" w:cs="Times New Roman"/>
                <w:color w:val="000000"/>
                <w:kern w:val="2"/>
                <w:sz w:val="24"/>
                <w:szCs w:val="24"/>
                <w:highlight w:val="none"/>
                <w:lang w:val="en-US" w:eastAsia="zh-CN" w:bidi="ar-SA"/>
              </w:rPr>
            </w:pPr>
            <w:bookmarkStart w:id="340" w:name="_Toc394390666"/>
            <w:r>
              <w:rPr>
                <w:rFonts w:hint="default" w:ascii="Times New Roman" w:hAnsi="Times New Roman" w:eastAsia="方正仿宋_GBK"/>
                <w:b/>
                <w:bCs/>
                <w:color w:val="000000"/>
                <w:sz w:val="22"/>
                <w:szCs w:val="22"/>
                <w:highlight w:val="none"/>
              </w:rPr>
              <w:t>序号</w:t>
            </w:r>
          </w:p>
        </w:tc>
        <w:tc>
          <w:tcPr>
            <w:tcW w:w="924"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b/>
                <w:bCs/>
                <w:color w:val="000000"/>
                <w:kern w:val="2"/>
                <w:sz w:val="22"/>
                <w:szCs w:val="22"/>
                <w:highlight w:val="none"/>
                <w:lang w:val="en-US" w:eastAsia="zh-CN" w:bidi="ar-SA"/>
              </w:rPr>
            </w:pPr>
          </w:p>
        </w:tc>
        <w:tc>
          <w:tcPr>
            <w:tcW w:w="1071"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SA"/>
              </w:rPr>
            </w:pPr>
            <w:r>
              <w:rPr>
                <w:rFonts w:hint="default" w:ascii="Times New Roman" w:hAnsi="Times New Roman" w:eastAsia="方正仿宋_GBK"/>
                <w:b/>
                <w:bCs/>
                <w:color w:val="000000"/>
                <w:sz w:val="22"/>
                <w:szCs w:val="22"/>
                <w:highlight w:val="none"/>
              </w:rPr>
              <w:t>评分因素及权重</w:t>
            </w:r>
          </w:p>
        </w:tc>
        <w:tc>
          <w:tcPr>
            <w:tcW w:w="718"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SA"/>
              </w:rPr>
            </w:pPr>
            <w:r>
              <w:rPr>
                <w:rFonts w:hint="default" w:ascii="Times New Roman" w:hAnsi="Times New Roman" w:eastAsia="方正仿宋_GBK"/>
                <w:b/>
                <w:bCs/>
                <w:color w:val="000000"/>
                <w:sz w:val="22"/>
                <w:szCs w:val="22"/>
                <w:highlight w:val="none"/>
              </w:rPr>
              <w:t>分值</w:t>
            </w:r>
          </w:p>
        </w:tc>
        <w:tc>
          <w:tcPr>
            <w:tcW w:w="5450"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SA"/>
              </w:rPr>
            </w:pPr>
            <w:r>
              <w:rPr>
                <w:rFonts w:hint="default" w:ascii="Times New Roman" w:hAnsi="Times New Roman" w:eastAsia="方正仿宋_GBK"/>
                <w:b/>
                <w:bCs/>
                <w:color w:val="000000"/>
                <w:sz w:val="22"/>
                <w:szCs w:val="22"/>
                <w:highlight w:val="none"/>
              </w:rPr>
              <w:t>评分标准</w:t>
            </w:r>
          </w:p>
        </w:tc>
        <w:tc>
          <w:tcPr>
            <w:tcW w:w="924"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SA"/>
              </w:rPr>
            </w:pPr>
            <w:r>
              <w:rPr>
                <w:rFonts w:hint="default" w:ascii="Times New Roman" w:hAnsi="Times New Roman" w:eastAsia="方正仿宋_GBK"/>
                <w:b/>
                <w:bCs/>
                <w:color w:val="00000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tcPr>
          <w:p>
            <w:pPr>
              <w:pStyle w:val="13"/>
              <w:keepNext w:val="0"/>
              <w:keepLines w:val="0"/>
              <w:suppressLineNumbers w:val="0"/>
              <w:spacing w:before="0" w:beforeAutospacing="0" w:after="0" w:afterAutospacing="0"/>
              <w:ind w:left="0" w:right="0"/>
              <w:jc w:val="center"/>
              <w:rPr>
                <w:rFonts w:hint="default" w:ascii="Times New Roman" w:hAnsi="Times New Roman" w:eastAsia="方正仿宋_GBK"/>
                <w:color w:val="000000"/>
                <w:sz w:val="24"/>
                <w:szCs w:val="24"/>
                <w:highlight w:val="none"/>
                <w:vertAlign w:val="baseline"/>
                <w:lang w:val="en-US" w:eastAsia="zh-CN"/>
              </w:rPr>
            </w:pPr>
            <w:r>
              <w:rPr>
                <w:rFonts w:hint="eastAsia" w:ascii="Times New Roman" w:hAnsi="Times New Roman" w:eastAsia="方正仿宋_GBK"/>
                <w:color w:val="000000"/>
                <w:sz w:val="24"/>
                <w:szCs w:val="24"/>
                <w:highlight w:val="none"/>
                <w:vertAlign w:val="baseline"/>
                <w:lang w:val="en-US" w:eastAsia="zh-CN"/>
              </w:rPr>
              <w:t>1</w:t>
            </w:r>
          </w:p>
        </w:tc>
        <w:tc>
          <w:tcPr>
            <w:tcW w:w="924" w:type="dxa"/>
            <w:vAlign w:val="top"/>
          </w:tcPr>
          <w:p>
            <w:pPr>
              <w:pStyle w:val="13"/>
              <w:keepNext w:val="0"/>
              <w:keepLines w:val="0"/>
              <w:suppressLineNumbers w:val="0"/>
              <w:spacing w:before="0" w:beforeAutospacing="0" w:after="0" w:afterAutospacing="0"/>
              <w:ind w:left="0" w:right="0"/>
              <w:rPr>
                <w:rFonts w:hint="default" w:ascii="Times New Roman" w:hAnsi="Times New Roman" w:eastAsia="方正仿宋_GBK" w:cs="Times New Roman"/>
                <w:color w:val="000000"/>
                <w:kern w:val="2"/>
                <w:sz w:val="24"/>
                <w:szCs w:val="24"/>
                <w:highlight w:val="none"/>
                <w:vertAlign w:val="baseline"/>
                <w:lang w:val="en-US" w:eastAsia="zh-CN" w:bidi="ar-SA"/>
              </w:rPr>
            </w:pPr>
          </w:p>
        </w:tc>
        <w:tc>
          <w:tcPr>
            <w:tcW w:w="1071"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olor w:val="000000"/>
                <w:sz w:val="22"/>
                <w:szCs w:val="22"/>
                <w:highlight w:val="none"/>
              </w:rPr>
            </w:pPr>
            <w:r>
              <w:rPr>
                <w:rFonts w:hint="default" w:ascii="Times New Roman" w:hAnsi="Times New Roman" w:eastAsia="方正仿宋_GBK"/>
                <w:color w:val="000000"/>
                <w:sz w:val="22"/>
                <w:szCs w:val="22"/>
                <w:highlight w:val="none"/>
              </w:rPr>
              <w:t>报价</w:t>
            </w:r>
          </w:p>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SA"/>
              </w:rPr>
            </w:pPr>
            <w:r>
              <w:rPr>
                <w:rFonts w:hint="default" w:ascii="Times New Roman" w:hAnsi="Times New Roman" w:eastAsia="方正仿宋_GBK"/>
                <w:color w:val="000000"/>
                <w:sz w:val="22"/>
                <w:szCs w:val="22"/>
                <w:highlight w:val="none"/>
              </w:rPr>
              <w:t>（</w:t>
            </w:r>
            <w:r>
              <w:rPr>
                <w:rFonts w:hint="eastAsia" w:ascii="Times New Roman" w:hAnsi="Times New Roman" w:eastAsia="方正仿宋_GBK"/>
                <w:color w:val="000000"/>
                <w:sz w:val="22"/>
                <w:szCs w:val="22"/>
                <w:highlight w:val="none"/>
                <w:lang w:val="en-US" w:eastAsia="zh-CN"/>
              </w:rPr>
              <w:t>1</w:t>
            </w:r>
            <w:r>
              <w:rPr>
                <w:rFonts w:hint="default" w:ascii="Times New Roman" w:hAnsi="Times New Roman" w:eastAsia="方正仿宋_GBK"/>
                <w:color w:val="000000"/>
                <w:sz w:val="22"/>
                <w:szCs w:val="22"/>
                <w:highlight w:val="none"/>
              </w:rPr>
              <w:t>0%）</w:t>
            </w:r>
          </w:p>
        </w:tc>
        <w:tc>
          <w:tcPr>
            <w:tcW w:w="718"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SA"/>
              </w:rPr>
            </w:pPr>
            <w:r>
              <w:rPr>
                <w:rFonts w:hint="eastAsia" w:ascii="Times New Roman" w:hAnsi="Times New Roman" w:eastAsia="方正仿宋_GBK"/>
                <w:color w:val="000000"/>
                <w:sz w:val="22"/>
                <w:szCs w:val="22"/>
                <w:highlight w:val="none"/>
                <w:lang w:val="en-US" w:eastAsia="zh-CN"/>
              </w:rPr>
              <w:t>1</w:t>
            </w:r>
            <w:r>
              <w:rPr>
                <w:rFonts w:hint="default" w:ascii="Times New Roman" w:hAnsi="Times New Roman" w:eastAsia="方正仿宋_GBK"/>
                <w:color w:val="000000"/>
                <w:sz w:val="22"/>
                <w:szCs w:val="22"/>
                <w:highlight w:val="none"/>
              </w:rPr>
              <w:t>0分</w:t>
            </w:r>
          </w:p>
        </w:tc>
        <w:tc>
          <w:tcPr>
            <w:tcW w:w="5450" w:type="dxa"/>
            <w:vAlign w:val="center"/>
          </w:tcPr>
          <w:p>
            <w:pPr>
              <w:keepNext w:val="0"/>
              <w:keepLines w:val="0"/>
              <w:suppressLineNumbers w:val="0"/>
              <w:spacing w:before="0" w:beforeAutospacing="0" w:after="0" w:afterAutospacing="0" w:line="0" w:lineRule="atLeast"/>
              <w:ind w:left="0" w:right="0"/>
              <w:rPr>
                <w:rFonts w:hint="default" w:ascii="Times New Roman" w:hAnsi="Times New Roman" w:eastAsia="方正仿宋_GBK" w:cs="Times New Roman"/>
                <w:color w:val="000000"/>
                <w:kern w:val="2"/>
                <w:sz w:val="24"/>
                <w:szCs w:val="24"/>
                <w:highlight w:val="none"/>
                <w:lang w:val="en-US" w:eastAsia="zh-CN" w:bidi="ar-SA"/>
              </w:rPr>
            </w:pPr>
            <w:r>
              <w:rPr>
                <w:rFonts w:hint="default" w:ascii="Times New Roman" w:hAnsi="Times New Roman" w:eastAsia="方正仿宋_GBK"/>
                <w:color w:val="000000"/>
                <w:sz w:val="22"/>
                <w:szCs w:val="22"/>
                <w:highlight w:val="none"/>
              </w:rPr>
              <w:t>报价得分=(基准价／投标报价)*</w:t>
            </w:r>
            <w:r>
              <w:rPr>
                <w:rFonts w:hint="eastAsia" w:ascii="Times New Roman" w:hAnsi="Times New Roman" w:eastAsia="方正仿宋_GBK"/>
                <w:color w:val="000000"/>
                <w:sz w:val="22"/>
                <w:szCs w:val="22"/>
                <w:highlight w:val="none"/>
                <w:lang w:val="en-US" w:eastAsia="zh-CN"/>
              </w:rPr>
              <w:t>1</w:t>
            </w:r>
            <w:r>
              <w:rPr>
                <w:rFonts w:hint="default" w:ascii="Times New Roman" w:hAnsi="Times New Roman" w:eastAsia="方正仿宋_GBK"/>
                <w:color w:val="000000"/>
                <w:sz w:val="22"/>
                <w:szCs w:val="22"/>
                <w:highlight w:val="none"/>
              </w:rPr>
              <w:t>0分（基准价：每个参与投标的供应商报的所有产品的价格的总和，价格最低的为基准价；投标报价：每个参与投标的供应商报的所有产品的价格的总和）。</w:t>
            </w:r>
          </w:p>
        </w:tc>
        <w:tc>
          <w:tcPr>
            <w:tcW w:w="924" w:type="dxa"/>
          </w:tcPr>
          <w:p>
            <w:pPr>
              <w:pStyle w:val="13"/>
              <w:keepNext w:val="0"/>
              <w:keepLines w:val="0"/>
              <w:suppressLineNumbers w:val="0"/>
              <w:spacing w:before="0" w:beforeAutospacing="0" w:after="0" w:afterAutospacing="0"/>
              <w:ind w:left="0" w:right="0"/>
              <w:rPr>
                <w:rFonts w:hint="default" w:ascii="Times New Roman" w:hAnsi="Times New Roman" w:eastAsia="方正仿宋_GBK"/>
                <w:color w:val="00000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tcPr>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r>
              <w:rPr>
                <w:rFonts w:hint="eastAsia" w:ascii="Times New Roman" w:hAnsi="Times New Roman" w:eastAsia="方正仿宋_GBK"/>
                <w:color w:val="000000"/>
                <w:sz w:val="24"/>
                <w:szCs w:val="24"/>
                <w:highlight w:val="none"/>
                <w:vertAlign w:val="baseline"/>
                <w:lang w:val="en-US" w:eastAsia="zh-CN"/>
              </w:rPr>
              <w:t>2</w:t>
            </w:r>
          </w:p>
        </w:tc>
        <w:tc>
          <w:tcPr>
            <w:tcW w:w="924" w:type="dxa"/>
            <w:vMerge w:val="restart"/>
            <w:vAlign w:val="top"/>
          </w:tcPr>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b/>
                <w:bCs/>
                <w:color w:val="000000"/>
                <w:kern w:val="2"/>
                <w:sz w:val="22"/>
                <w:szCs w:val="22"/>
                <w:highlight w:val="no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b/>
                <w:bCs/>
                <w:color w:val="000000"/>
                <w:kern w:val="2"/>
                <w:sz w:val="22"/>
                <w:szCs w:val="22"/>
                <w:highlight w:val="no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b/>
                <w:bCs/>
                <w:color w:val="000000"/>
                <w:kern w:val="2"/>
                <w:sz w:val="22"/>
                <w:szCs w:val="22"/>
                <w:highlight w:val="no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b/>
                <w:bCs/>
                <w:color w:val="000000"/>
                <w:kern w:val="2"/>
                <w:sz w:val="22"/>
                <w:szCs w:val="22"/>
                <w:highlight w:val="no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b/>
                <w:bCs/>
                <w:color w:val="000000"/>
                <w:kern w:val="2"/>
                <w:sz w:val="22"/>
                <w:szCs w:val="22"/>
                <w:highlight w:val="no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b/>
                <w:bCs/>
                <w:color w:val="000000"/>
                <w:kern w:val="2"/>
                <w:sz w:val="22"/>
                <w:szCs w:val="22"/>
                <w:highlight w:val="no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b/>
                <w:bCs/>
                <w:color w:val="000000"/>
                <w:kern w:val="2"/>
                <w:sz w:val="22"/>
                <w:szCs w:val="22"/>
                <w:highlight w:val="no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b/>
                <w:bCs/>
                <w:color w:val="000000"/>
                <w:kern w:val="2"/>
                <w:sz w:val="22"/>
                <w:szCs w:val="22"/>
                <w:highlight w:val="no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b/>
                <w:bCs/>
                <w:color w:val="000000"/>
                <w:kern w:val="2"/>
                <w:sz w:val="22"/>
                <w:szCs w:val="22"/>
                <w:highlight w:val="none"/>
                <w:lang w:val="en-US" w:eastAsia="zh-CN" w:bidi="ar-SA"/>
              </w:rPr>
            </w:pPr>
          </w:p>
          <w:p>
            <w:pPr>
              <w:pStyle w:val="13"/>
              <w:keepNext w:val="0"/>
              <w:keepLines w:val="0"/>
              <w:suppressLineNumbers w:val="0"/>
              <w:spacing w:before="0" w:beforeAutospacing="0" w:after="0" w:afterAutospacing="0"/>
              <w:ind w:left="0" w:right="0"/>
              <w:jc w:val="center"/>
              <w:rPr>
                <w:rFonts w:hint="default" w:ascii="Times New Roman" w:hAnsi="Times New Roman" w:eastAsia="方正仿宋_GBK" w:cs="Times New Roman"/>
                <w:b/>
                <w:bCs/>
                <w:color w:val="000000"/>
                <w:kern w:val="2"/>
                <w:sz w:val="22"/>
                <w:szCs w:val="22"/>
                <w:highlight w:val="none"/>
                <w:lang w:val="en-US" w:eastAsia="zh-CN" w:bidi="ar-SA"/>
              </w:rPr>
            </w:pPr>
            <w:r>
              <w:rPr>
                <w:rFonts w:hint="eastAsia" w:ascii="Times New Roman" w:hAnsi="Times New Roman" w:eastAsia="方正仿宋_GBK" w:cs="Times New Roman"/>
                <w:b w:val="0"/>
                <w:bCs w:val="0"/>
                <w:color w:val="000000"/>
                <w:kern w:val="2"/>
                <w:sz w:val="22"/>
                <w:szCs w:val="22"/>
                <w:highlight w:val="none"/>
                <w:lang w:val="en-US" w:eastAsia="zh-CN" w:bidi="ar-SA"/>
              </w:rPr>
              <w:t>技术部分</w:t>
            </w:r>
          </w:p>
        </w:tc>
        <w:tc>
          <w:tcPr>
            <w:tcW w:w="1071"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olor w:val="000000"/>
                <w:sz w:val="22"/>
                <w:szCs w:val="22"/>
                <w:highlight w:val="none"/>
              </w:rPr>
            </w:pPr>
            <w:r>
              <w:rPr>
                <w:rFonts w:hint="default" w:ascii="Times New Roman" w:hAnsi="Times New Roman" w:eastAsia="方正仿宋_GBK"/>
                <w:color w:val="000000"/>
                <w:sz w:val="22"/>
                <w:szCs w:val="22"/>
                <w:highlight w:val="none"/>
              </w:rPr>
              <w:t>技术参数</w:t>
            </w:r>
          </w:p>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SA"/>
              </w:rPr>
            </w:pPr>
            <w:r>
              <w:rPr>
                <w:rFonts w:hint="default" w:ascii="Times New Roman" w:hAnsi="Times New Roman" w:eastAsia="方正仿宋_GBK"/>
                <w:color w:val="000000"/>
                <w:sz w:val="22"/>
                <w:szCs w:val="22"/>
                <w:highlight w:val="none"/>
              </w:rPr>
              <w:t>（</w:t>
            </w:r>
            <w:r>
              <w:rPr>
                <w:rFonts w:hint="eastAsia" w:ascii="Times New Roman" w:hAnsi="Times New Roman" w:eastAsia="方正仿宋_GBK"/>
                <w:color w:val="000000"/>
                <w:sz w:val="22"/>
                <w:szCs w:val="22"/>
                <w:highlight w:val="none"/>
                <w:lang w:val="en-US" w:eastAsia="zh-CN"/>
              </w:rPr>
              <w:t>2</w:t>
            </w:r>
            <w:r>
              <w:rPr>
                <w:rFonts w:hint="default" w:ascii="Times New Roman" w:hAnsi="Times New Roman" w:eastAsia="方正仿宋_GBK"/>
                <w:color w:val="000000"/>
                <w:sz w:val="22"/>
                <w:szCs w:val="22"/>
                <w:highlight w:val="none"/>
              </w:rPr>
              <w:t>0%）</w:t>
            </w:r>
          </w:p>
        </w:tc>
        <w:tc>
          <w:tcPr>
            <w:tcW w:w="718"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SA"/>
              </w:rPr>
            </w:pPr>
            <w:r>
              <w:rPr>
                <w:rFonts w:hint="eastAsia" w:ascii="Times New Roman" w:hAnsi="Times New Roman" w:eastAsia="方正仿宋_GBK"/>
                <w:color w:val="000000"/>
                <w:sz w:val="22"/>
                <w:szCs w:val="22"/>
                <w:highlight w:val="none"/>
                <w:lang w:val="en-US" w:eastAsia="zh-CN"/>
              </w:rPr>
              <w:t>2</w:t>
            </w:r>
            <w:r>
              <w:rPr>
                <w:rFonts w:hint="default" w:ascii="Times New Roman" w:hAnsi="Times New Roman" w:eastAsia="方正仿宋_GBK"/>
                <w:color w:val="000000"/>
                <w:sz w:val="22"/>
                <w:szCs w:val="22"/>
                <w:highlight w:val="none"/>
              </w:rPr>
              <w:t>0分</w:t>
            </w:r>
          </w:p>
        </w:tc>
        <w:tc>
          <w:tcPr>
            <w:tcW w:w="5450" w:type="dxa"/>
            <w:vAlign w:val="center"/>
          </w:tcPr>
          <w:p>
            <w:pPr>
              <w:keepNext w:val="0"/>
              <w:keepLines w:val="0"/>
              <w:suppressLineNumbers w:val="0"/>
              <w:spacing w:before="0" w:beforeAutospacing="0" w:after="0" w:afterAutospacing="0" w:line="0" w:lineRule="atLeast"/>
              <w:ind w:left="0" w:right="0"/>
              <w:rPr>
                <w:rFonts w:hint="default" w:ascii="Times New Roman" w:hAnsi="Times New Roman" w:eastAsia="方正仿宋_GBK" w:cs="Times New Roman"/>
                <w:color w:val="000000"/>
                <w:kern w:val="2"/>
                <w:sz w:val="24"/>
                <w:szCs w:val="24"/>
                <w:highlight w:val="none"/>
                <w:lang w:val="en-US" w:eastAsia="zh-CN" w:bidi="ar-SA"/>
              </w:rPr>
            </w:pPr>
            <w:r>
              <w:rPr>
                <w:rFonts w:hint="default" w:ascii="Times New Roman" w:hAnsi="Times New Roman" w:eastAsia="方正仿宋_GBK"/>
                <w:color w:val="000000"/>
                <w:sz w:val="22"/>
                <w:szCs w:val="22"/>
                <w:highlight w:val="none"/>
              </w:rPr>
              <w:t>所投产品完全符合遴选文件要求产品技术参数的，得基本分</w:t>
            </w:r>
            <w:r>
              <w:rPr>
                <w:rFonts w:hint="eastAsia" w:ascii="Times New Roman" w:hAnsi="Times New Roman" w:eastAsia="方正仿宋_GBK"/>
                <w:color w:val="000000"/>
                <w:sz w:val="22"/>
                <w:szCs w:val="22"/>
                <w:highlight w:val="none"/>
                <w:lang w:val="en-US" w:eastAsia="zh-CN"/>
              </w:rPr>
              <w:t>2</w:t>
            </w:r>
            <w:r>
              <w:rPr>
                <w:rFonts w:hint="default" w:ascii="Times New Roman" w:hAnsi="Times New Roman" w:eastAsia="方正仿宋_GBK"/>
                <w:color w:val="000000"/>
                <w:sz w:val="22"/>
                <w:szCs w:val="22"/>
                <w:highlight w:val="none"/>
              </w:rPr>
              <w:t>0分，每有一项与遴选文件要求的产生负偏离扣3分，扣完为止。</w:t>
            </w:r>
          </w:p>
        </w:tc>
        <w:tc>
          <w:tcPr>
            <w:tcW w:w="924" w:type="dxa"/>
          </w:tcPr>
          <w:p>
            <w:pPr>
              <w:pStyle w:val="13"/>
              <w:keepNext w:val="0"/>
              <w:keepLines w:val="0"/>
              <w:suppressLineNumbers w:val="0"/>
              <w:spacing w:before="0" w:beforeAutospacing="0" w:after="0" w:afterAutospacing="0"/>
              <w:ind w:left="0" w:right="0"/>
              <w:rPr>
                <w:rFonts w:hint="default" w:ascii="Times New Roman" w:hAnsi="Times New Roman" w:eastAsia="方正仿宋_GBK" w:cs="Times New Roman"/>
                <w:color w:val="000000"/>
                <w:kern w:val="2"/>
                <w:sz w:val="22"/>
                <w:szCs w:val="22"/>
                <w:highlight w:val="none"/>
                <w:lang w:val="en-US" w:eastAsia="zh-CN" w:bidi="ar-SA"/>
              </w:rPr>
            </w:pPr>
            <w:r>
              <w:rPr>
                <w:rFonts w:hint="default" w:ascii="Times New Roman" w:hAnsi="Times New Roman" w:eastAsia="方正仿宋_GBK" w:cs="Times New Roman"/>
                <w:color w:val="000000"/>
                <w:kern w:val="2"/>
                <w:sz w:val="22"/>
                <w:szCs w:val="22"/>
                <w:highlight w:val="none"/>
                <w:lang w:val="en-US" w:eastAsia="zh-CN" w:bidi="ar-SA"/>
              </w:rPr>
              <w:t>提供生产厂家的产品技术说明并加盖公章，否则不得分。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tcPr>
          <w:p>
            <w:pPr>
              <w:pStyle w:val="13"/>
              <w:keepNext w:val="0"/>
              <w:keepLines w:val="0"/>
              <w:suppressLineNumbers w:val="0"/>
              <w:spacing w:before="0" w:beforeAutospacing="0" w:after="0" w:afterAutospacing="0"/>
              <w:ind w:left="0" w:right="0"/>
              <w:jc w:val="both"/>
              <w:rPr>
                <w:rFonts w:hint="eastAsia" w:ascii="Times New Roman" w:hAnsi="Times New Roman" w:eastAsia="方正仿宋_GBK"/>
                <w:color w:val="000000"/>
                <w:sz w:val="24"/>
                <w:szCs w:val="24"/>
                <w:highlight w:val="none"/>
                <w:vertAlign w:val="baseline"/>
                <w:lang w:val="en-US" w:eastAsia="zh-CN"/>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r>
              <w:rPr>
                <w:rFonts w:hint="eastAsia" w:ascii="Times New Roman" w:hAnsi="Times New Roman" w:eastAsia="方正仿宋_GBK"/>
                <w:color w:val="000000"/>
                <w:sz w:val="24"/>
                <w:szCs w:val="24"/>
                <w:highlight w:val="none"/>
                <w:vertAlign w:val="baseline"/>
                <w:lang w:val="en-US" w:eastAsia="zh-CN"/>
              </w:rPr>
              <w:t>3</w:t>
            </w:r>
          </w:p>
        </w:tc>
        <w:tc>
          <w:tcPr>
            <w:tcW w:w="924" w:type="dxa"/>
            <w:vMerge w:val="continue"/>
            <w:vAlign w:val="top"/>
          </w:tcPr>
          <w:p>
            <w:pPr>
              <w:pStyle w:val="13"/>
              <w:keepNext w:val="0"/>
              <w:keepLines w:val="0"/>
              <w:suppressLineNumbers w:val="0"/>
              <w:spacing w:before="0" w:beforeAutospacing="0" w:after="0" w:afterAutospacing="0"/>
              <w:ind w:left="0" w:right="0"/>
              <w:rPr>
                <w:rFonts w:hint="default" w:ascii="Times New Roman" w:hAnsi="Times New Roman" w:eastAsia="方正仿宋_GBK" w:cs="Times New Roman"/>
                <w:b/>
                <w:bCs/>
                <w:color w:val="000000"/>
                <w:kern w:val="2"/>
                <w:sz w:val="22"/>
                <w:szCs w:val="22"/>
                <w:highlight w:val="none"/>
                <w:lang w:val="en-US" w:eastAsia="zh-CN" w:bidi="ar-SA"/>
              </w:rPr>
            </w:pPr>
          </w:p>
        </w:tc>
        <w:tc>
          <w:tcPr>
            <w:tcW w:w="1071"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SA"/>
              </w:rPr>
            </w:pPr>
            <w:r>
              <w:rPr>
                <w:rFonts w:hint="default" w:ascii="Times New Roman" w:hAnsi="Times New Roman" w:eastAsia="方正仿宋_GBK"/>
                <w:color w:val="000000"/>
                <w:sz w:val="22"/>
                <w:szCs w:val="22"/>
                <w:highlight w:val="none"/>
              </w:rPr>
              <w:t>产品质量（</w:t>
            </w:r>
            <w:r>
              <w:rPr>
                <w:rFonts w:hint="eastAsia" w:ascii="Times New Roman" w:hAnsi="Times New Roman" w:eastAsia="方正仿宋_GBK"/>
                <w:color w:val="000000"/>
                <w:sz w:val="22"/>
                <w:szCs w:val="22"/>
                <w:highlight w:val="none"/>
                <w:lang w:val="en-US" w:eastAsia="zh-CN"/>
              </w:rPr>
              <w:t>1</w:t>
            </w:r>
            <w:r>
              <w:rPr>
                <w:rFonts w:hint="default" w:ascii="Times New Roman" w:hAnsi="Times New Roman" w:eastAsia="方正仿宋_GBK"/>
                <w:color w:val="000000"/>
                <w:sz w:val="22"/>
                <w:szCs w:val="22"/>
                <w:highlight w:val="none"/>
              </w:rPr>
              <w:t>0%）</w:t>
            </w:r>
          </w:p>
        </w:tc>
        <w:tc>
          <w:tcPr>
            <w:tcW w:w="718"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SA"/>
              </w:rPr>
            </w:pPr>
            <w:r>
              <w:rPr>
                <w:rFonts w:hint="eastAsia" w:ascii="Times New Roman" w:hAnsi="Times New Roman" w:eastAsia="方正仿宋_GBK"/>
                <w:color w:val="000000"/>
                <w:sz w:val="22"/>
                <w:szCs w:val="22"/>
                <w:highlight w:val="none"/>
                <w:lang w:val="en-US" w:eastAsia="zh-CN"/>
              </w:rPr>
              <w:t>1</w:t>
            </w:r>
            <w:r>
              <w:rPr>
                <w:rFonts w:hint="default" w:ascii="Times New Roman" w:hAnsi="Times New Roman" w:eastAsia="方正仿宋_GBK"/>
                <w:color w:val="000000"/>
                <w:sz w:val="22"/>
                <w:szCs w:val="22"/>
                <w:highlight w:val="none"/>
              </w:rPr>
              <w:t>0分</w:t>
            </w:r>
          </w:p>
        </w:tc>
        <w:tc>
          <w:tcPr>
            <w:tcW w:w="5450" w:type="dxa"/>
            <w:vAlign w:val="center"/>
          </w:tcPr>
          <w:p>
            <w:pPr>
              <w:keepNext w:val="0"/>
              <w:keepLines w:val="0"/>
              <w:suppressLineNumbers w:val="0"/>
              <w:spacing w:before="0" w:beforeAutospacing="0" w:after="0" w:afterAutospacing="0" w:line="0" w:lineRule="atLeast"/>
              <w:ind w:left="0" w:right="0"/>
              <w:rPr>
                <w:rFonts w:hint="default" w:ascii="Times New Roman" w:hAnsi="Times New Roman" w:eastAsia="方正仿宋_GBK" w:cs="Times New Roman"/>
                <w:color w:val="000000"/>
                <w:kern w:val="2"/>
                <w:sz w:val="24"/>
                <w:szCs w:val="24"/>
                <w:highlight w:val="none"/>
                <w:lang w:val="en-US" w:eastAsia="zh-CN" w:bidi="ar-SA"/>
              </w:rPr>
            </w:pPr>
            <w:r>
              <w:rPr>
                <w:rFonts w:hint="default" w:ascii="Times New Roman" w:hAnsi="Times New Roman" w:eastAsia="方正仿宋_GBK"/>
                <w:color w:val="000000"/>
                <w:sz w:val="22"/>
                <w:szCs w:val="22"/>
                <w:highlight w:val="none"/>
              </w:rPr>
              <w:t>提供所有投标产品的第三方检测报告，每缺失一个投标产品的检测报告扣</w:t>
            </w:r>
            <w:r>
              <w:rPr>
                <w:rFonts w:hint="eastAsia" w:ascii="Times New Roman" w:hAnsi="Times New Roman" w:eastAsia="方正仿宋_GBK"/>
                <w:color w:val="000000"/>
                <w:sz w:val="22"/>
                <w:szCs w:val="22"/>
                <w:highlight w:val="none"/>
                <w:lang w:val="en-US" w:eastAsia="zh-CN"/>
              </w:rPr>
              <w:t>1</w:t>
            </w:r>
            <w:r>
              <w:rPr>
                <w:rFonts w:hint="default" w:ascii="Times New Roman" w:hAnsi="Times New Roman" w:eastAsia="方正仿宋_GBK"/>
                <w:color w:val="000000"/>
                <w:sz w:val="22"/>
                <w:szCs w:val="22"/>
                <w:highlight w:val="none"/>
              </w:rPr>
              <w:t>分，扣完为止。</w:t>
            </w:r>
          </w:p>
        </w:tc>
        <w:tc>
          <w:tcPr>
            <w:tcW w:w="924" w:type="dxa"/>
          </w:tcPr>
          <w:p>
            <w:pPr>
              <w:pStyle w:val="13"/>
              <w:keepNext w:val="0"/>
              <w:keepLines w:val="0"/>
              <w:suppressLineNumbers w:val="0"/>
              <w:spacing w:before="0" w:beforeAutospacing="0" w:after="0" w:afterAutospacing="0"/>
              <w:ind w:left="0" w:right="0"/>
              <w:rPr>
                <w:rFonts w:hint="default" w:ascii="Times New Roman" w:hAnsi="Times New Roman" w:eastAsia="方正仿宋_GBK" w:cs="Times New Roman"/>
                <w:color w:val="000000"/>
                <w:kern w:val="2"/>
                <w:sz w:val="22"/>
                <w:szCs w:val="22"/>
                <w:highlight w:val="none"/>
                <w:lang w:val="en-US" w:eastAsia="zh-CN" w:bidi="ar-SA"/>
              </w:rPr>
            </w:pPr>
            <w:r>
              <w:rPr>
                <w:rFonts w:hint="default" w:ascii="Times New Roman" w:hAnsi="Times New Roman" w:eastAsia="方正仿宋_GBK" w:cs="Times New Roman"/>
                <w:color w:val="000000"/>
                <w:kern w:val="2"/>
                <w:sz w:val="22"/>
                <w:szCs w:val="22"/>
                <w:highlight w:val="none"/>
                <w:lang w:val="en-US" w:eastAsia="zh-CN" w:bidi="ar-SA"/>
              </w:rPr>
              <w:t>提供检测报告复印件加盖第三方检测机构的公章，否则不得分。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tcPr>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r>
              <w:rPr>
                <w:rFonts w:hint="eastAsia" w:ascii="Times New Roman" w:hAnsi="Times New Roman" w:eastAsia="方正仿宋_GBK"/>
                <w:color w:val="000000"/>
                <w:sz w:val="24"/>
                <w:szCs w:val="24"/>
                <w:highlight w:val="none"/>
                <w:vertAlign w:val="baseline"/>
                <w:lang w:val="en-US" w:eastAsia="zh-CN"/>
              </w:rPr>
              <w:t>4</w:t>
            </w:r>
          </w:p>
        </w:tc>
        <w:tc>
          <w:tcPr>
            <w:tcW w:w="924" w:type="dxa"/>
            <w:vMerge w:val="restart"/>
            <w:vAlign w:val="top"/>
          </w:tcPr>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color w:val="000000"/>
                <w:kern w:val="2"/>
                <w:sz w:val="24"/>
                <w:szCs w:val="24"/>
                <w:highlight w:val="none"/>
                <w:vertAlign w:val="baseli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color w:val="000000"/>
                <w:kern w:val="2"/>
                <w:sz w:val="24"/>
                <w:szCs w:val="24"/>
                <w:highlight w:val="none"/>
                <w:vertAlign w:val="baseli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color w:val="000000"/>
                <w:kern w:val="2"/>
                <w:sz w:val="24"/>
                <w:szCs w:val="24"/>
                <w:highlight w:val="none"/>
                <w:vertAlign w:val="baseli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color w:val="000000"/>
                <w:kern w:val="2"/>
                <w:sz w:val="24"/>
                <w:szCs w:val="24"/>
                <w:highlight w:val="none"/>
                <w:vertAlign w:val="baseli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color w:val="000000"/>
                <w:kern w:val="2"/>
                <w:sz w:val="24"/>
                <w:szCs w:val="24"/>
                <w:highlight w:val="none"/>
                <w:vertAlign w:val="baseli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color w:val="000000"/>
                <w:kern w:val="2"/>
                <w:sz w:val="24"/>
                <w:szCs w:val="24"/>
                <w:highlight w:val="none"/>
                <w:vertAlign w:val="baseli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color w:val="000000"/>
                <w:kern w:val="2"/>
                <w:sz w:val="24"/>
                <w:szCs w:val="24"/>
                <w:highlight w:val="none"/>
                <w:vertAlign w:val="baseli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color w:val="000000"/>
                <w:kern w:val="2"/>
                <w:sz w:val="24"/>
                <w:szCs w:val="24"/>
                <w:highlight w:val="none"/>
                <w:vertAlign w:val="baseli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color w:val="000000"/>
                <w:kern w:val="2"/>
                <w:sz w:val="24"/>
                <w:szCs w:val="24"/>
                <w:highlight w:val="none"/>
                <w:vertAlign w:val="baseline"/>
                <w:lang w:val="en-US" w:eastAsia="zh-CN" w:bidi="ar-SA"/>
              </w:rPr>
            </w:pPr>
            <w:r>
              <w:rPr>
                <w:rFonts w:hint="eastAsia" w:ascii="Times New Roman" w:hAnsi="Times New Roman" w:eastAsia="方正仿宋_GBK" w:cs="Times New Roman"/>
                <w:color w:val="000000"/>
                <w:kern w:val="2"/>
                <w:sz w:val="24"/>
                <w:szCs w:val="24"/>
                <w:highlight w:val="none"/>
                <w:vertAlign w:val="baseline"/>
                <w:lang w:val="en-US" w:eastAsia="zh-CN" w:bidi="ar-SA"/>
              </w:rPr>
              <w:t>商务部分</w:t>
            </w:r>
          </w:p>
        </w:tc>
        <w:tc>
          <w:tcPr>
            <w:tcW w:w="1071"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SA"/>
              </w:rPr>
            </w:pPr>
            <w:r>
              <w:rPr>
                <w:rFonts w:hint="eastAsia" w:ascii="Times New Roman" w:hAnsi="Times New Roman" w:eastAsia="方正仿宋_GBK"/>
                <w:color w:val="000000"/>
                <w:sz w:val="22"/>
                <w:szCs w:val="22"/>
                <w:highlight w:val="none"/>
                <w:lang w:val="en-US" w:eastAsia="zh-CN"/>
              </w:rPr>
              <w:t>服务</w:t>
            </w:r>
            <w:r>
              <w:rPr>
                <w:rFonts w:hint="default" w:ascii="Times New Roman" w:hAnsi="Times New Roman" w:eastAsia="方正仿宋_GBK"/>
                <w:color w:val="000000"/>
                <w:sz w:val="22"/>
                <w:szCs w:val="22"/>
                <w:highlight w:val="none"/>
              </w:rPr>
              <w:t>方案（</w:t>
            </w:r>
            <w:r>
              <w:rPr>
                <w:rFonts w:hint="eastAsia" w:ascii="Times New Roman" w:hAnsi="Times New Roman" w:eastAsia="方正仿宋_GBK"/>
                <w:color w:val="000000"/>
                <w:sz w:val="22"/>
                <w:szCs w:val="22"/>
                <w:highlight w:val="none"/>
                <w:lang w:val="en-US" w:eastAsia="zh-CN"/>
              </w:rPr>
              <w:t>3</w:t>
            </w:r>
            <w:r>
              <w:rPr>
                <w:rFonts w:hint="default" w:ascii="Times New Roman" w:hAnsi="Times New Roman" w:eastAsia="方正仿宋_GBK"/>
                <w:color w:val="000000"/>
                <w:sz w:val="22"/>
                <w:szCs w:val="22"/>
                <w:highlight w:val="none"/>
              </w:rPr>
              <w:t>0%）</w:t>
            </w:r>
          </w:p>
        </w:tc>
        <w:tc>
          <w:tcPr>
            <w:tcW w:w="718"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SA"/>
              </w:rPr>
            </w:pPr>
            <w:r>
              <w:rPr>
                <w:rFonts w:hint="eastAsia" w:ascii="Times New Roman" w:hAnsi="Times New Roman" w:eastAsia="方正仿宋_GBK"/>
                <w:color w:val="000000"/>
                <w:sz w:val="22"/>
                <w:szCs w:val="22"/>
                <w:highlight w:val="none"/>
                <w:lang w:val="en-US" w:eastAsia="zh-CN"/>
              </w:rPr>
              <w:t>3</w:t>
            </w:r>
            <w:r>
              <w:rPr>
                <w:rFonts w:hint="default" w:ascii="Times New Roman" w:hAnsi="Times New Roman" w:eastAsia="方正仿宋_GBK"/>
                <w:color w:val="000000"/>
                <w:sz w:val="22"/>
                <w:szCs w:val="22"/>
                <w:highlight w:val="none"/>
              </w:rPr>
              <w:t>0分</w:t>
            </w:r>
          </w:p>
        </w:tc>
        <w:tc>
          <w:tcPr>
            <w:tcW w:w="5450" w:type="dxa"/>
            <w:vAlign w:val="center"/>
          </w:tcPr>
          <w:p>
            <w:pPr>
              <w:keepNext w:val="0"/>
              <w:keepLines w:val="0"/>
              <w:suppressLineNumbers w:val="0"/>
              <w:spacing w:before="0" w:beforeAutospacing="0" w:after="0" w:afterAutospacing="0" w:line="0" w:lineRule="atLeast"/>
              <w:ind w:left="0" w:right="0"/>
              <w:rPr>
                <w:rFonts w:hint="default" w:ascii="Times New Roman" w:hAnsi="Times New Roman" w:eastAsia="方正仿宋_GBK" w:cs="Times New Roman"/>
                <w:color w:val="000000"/>
                <w:kern w:val="2"/>
                <w:sz w:val="24"/>
                <w:szCs w:val="24"/>
                <w:highlight w:val="none"/>
                <w:lang w:val="en-US" w:eastAsia="zh-CN" w:bidi="ar-SA"/>
              </w:rPr>
            </w:pPr>
            <w:r>
              <w:rPr>
                <w:rFonts w:hint="eastAsia" w:eastAsia="方正仿宋_GBK"/>
                <w:color w:val="000000"/>
                <w:sz w:val="22"/>
                <w:szCs w:val="22"/>
                <w:highlight w:val="none"/>
              </w:rPr>
              <w:t>供应商结合对本项目的理解与采购人的实际需求提供服务方案，方案包括但不限于:1.产品质保服务方案;2.售后应急服务方案;3.服务运营方案;4.产品配送方案；5.科室建设方案。结合医院实际，方案说明详细、准确、符合要求、针对性强、为优秀得21-30分；方案说明较为详细、准确、符合要求、针对性一般为良好得11-20分；方案说明准确度不高，无针对性为差得1-5分；说明内容和本项目无关及未提供为差得0分。</w:t>
            </w:r>
          </w:p>
        </w:tc>
        <w:tc>
          <w:tcPr>
            <w:tcW w:w="924" w:type="dxa"/>
          </w:tcPr>
          <w:p>
            <w:pPr>
              <w:pStyle w:val="13"/>
              <w:keepNext w:val="0"/>
              <w:keepLines w:val="0"/>
              <w:suppressLineNumbers w:val="0"/>
              <w:spacing w:before="0" w:beforeAutospacing="0" w:after="0" w:afterAutospacing="0"/>
              <w:ind w:left="0" w:right="0"/>
              <w:rPr>
                <w:rFonts w:hint="default" w:ascii="Times New Roman" w:hAnsi="Times New Roman" w:eastAsia="方正仿宋_GBK"/>
                <w:color w:val="00000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tcPr>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r>
              <w:rPr>
                <w:rFonts w:hint="eastAsia" w:ascii="Times New Roman" w:hAnsi="Times New Roman" w:eastAsia="方正仿宋_GBK"/>
                <w:color w:val="000000"/>
                <w:sz w:val="24"/>
                <w:szCs w:val="24"/>
                <w:highlight w:val="none"/>
                <w:vertAlign w:val="baseline"/>
                <w:lang w:val="en-US" w:eastAsia="zh-CN"/>
              </w:rPr>
              <w:t>5</w:t>
            </w:r>
          </w:p>
        </w:tc>
        <w:tc>
          <w:tcPr>
            <w:tcW w:w="924" w:type="dxa"/>
            <w:vMerge w:val="continue"/>
            <w:vAlign w:val="top"/>
          </w:tcPr>
          <w:p>
            <w:pPr>
              <w:pStyle w:val="13"/>
              <w:keepNext w:val="0"/>
              <w:keepLines w:val="0"/>
              <w:suppressLineNumbers w:val="0"/>
              <w:spacing w:before="0" w:beforeAutospacing="0" w:after="0" w:afterAutospacing="0"/>
              <w:ind w:left="0" w:right="0"/>
              <w:rPr>
                <w:rFonts w:hint="eastAsia" w:ascii="Times New Roman" w:hAnsi="Times New Roman" w:eastAsia="方正仿宋_GBK" w:cs="Times New Roman"/>
                <w:color w:val="000000"/>
                <w:kern w:val="2"/>
                <w:sz w:val="24"/>
                <w:szCs w:val="24"/>
                <w:highlight w:val="none"/>
                <w:vertAlign w:val="baseline"/>
                <w:lang w:val="en-US" w:eastAsia="zh-CN" w:bidi="ar-SA"/>
              </w:rPr>
            </w:pPr>
          </w:p>
        </w:tc>
        <w:tc>
          <w:tcPr>
            <w:tcW w:w="1071"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eastAsia="方正仿宋_GBK" w:cs="Times New Roman"/>
                <w:color w:val="000000"/>
                <w:kern w:val="2"/>
                <w:sz w:val="22"/>
                <w:szCs w:val="22"/>
                <w:highlight w:val="none"/>
                <w:lang w:val="en-US" w:eastAsia="zh-CN" w:bidi="ar-SA"/>
              </w:rPr>
            </w:pPr>
            <w:r>
              <w:rPr>
                <w:rFonts w:hint="eastAsia" w:ascii="Times New Roman" w:hAnsi="Times New Roman" w:eastAsia="方正仿宋_GBK"/>
                <w:color w:val="000000"/>
                <w:sz w:val="22"/>
                <w:szCs w:val="22"/>
                <w:highlight w:val="none"/>
                <w:lang w:val="en-US" w:eastAsia="zh-CN"/>
              </w:rPr>
              <w:t>配送</w:t>
            </w:r>
            <w:r>
              <w:rPr>
                <w:rFonts w:hint="default" w:ascii="Times New Roman" w:hAnsi="Times New Roman" w:eastAsia="方正仿宋_GBK"/>
                <w:color w:val="000000"/>
                <w:sz w:val="22"/>
                <w:szCs w:val="22"/>
                <w:highlight w:val="none"/>
              </w:rPr>
              <w:t>方案（</w:t>
            </w:r>
            <w:r>
              <w:rPr>
                <w:rFonts w:hint="eastAsia" w:ascii="Times New Roman" w:hAnsi="Times New Roman" w:eastAsia="方正仿宋_GBK"/>
                <w:color w:val="000000"/>
                <w:sz w:val="22"/>
                <w:szCs w:val="22"/>
                <w:highlight w:val="none"/>
                <w:lang w:val="en-US" w:eastAsia="zh-CN"/>
              </w:rPr>
              <w:t>2</w:t>
            </w:r>
            <w:r>
              <w:rPr>
                <w:rFonts w:hint="default" w:ascii="Times New Roman" w:hAnsi="Times New Roman" w:eastAsia="方正仿宋_GBK"/>
                <w:color w:val="000000"/>
                <w:sz w:val="22"/>
                <w:szCs w:val="22"/>
                <w:highlight w:val="none"/>
              </w:rPr>
              <w:t>0%）</w:t>
            </w:r>
          </w:p>
        </w:tc>
        <w:tc>
          <w:tcPr>
            <w:tcW w:w="718"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2"/>
                <w:szCs w:val="22"/>
                <w:highlight w:val="none"/>
                <w:lang w:val="en-US" w:eastAsia="zh-CN" w:bidi="ar-SA"/>
              </w:rPr>
            </w:pPr>
            <w:r>
              <w:rPr>
                <w:rFonts w:hint="eastAsia" w:ascii="Times New Roman" w:hAnsi="Times New Roman" w:eastAsia="方正仿宋_GBK"/>
                <w:color w:val="000000"/>
                <w:sz w:val="22"/>
                <w:szCs w:val="22"/>
                <w:highlight w:val="none"/>
                <w:lang w:val="en-US" w:eastAsia="zh-CN"/>
              </w:rPr>
              <w:t>20分</w:t>
            </w:r>
          </w:p>
        </w:tc>
        <w:tc>
          <w:tcPr>
            <w:tcW w:w="5450" w:type="dxa"/>
            <w:vAlign w:val="center"/>
          </w:tcPr>
          <w:p>
            <w:pPr>
              <w:keepNext w:val="0"/>
              <w:keepLines w:val="0"/>
              <w:suppressLineNumbers w:val="0"/>
              <w:spacing w:before="0" w:beforeAutospacing="0" w:after="0" w:afterAutospacing="0" w:line="0" w:lineRule="atLeast"/>
              <w:ind w:left="0" w:right="0"/>
              <w:rPr>
                <w:rFonts w:hint="default" w:ascii="Times New Roman" w:hAnsi="Times New Roman" w:eastAsia="方正仿宋_GBK" w:cs="Times New Roman"/>
                <w:color w:val="000000"/>
                <w:sz w:val="22"/>
                <w:szCs w:val="22"/>
                <w:highlight w:val="none"/>
              </w:rPr>
            </w:pPr>
            <w:r>
              <w:rPr>
                <w:rFonts w:hint="default" w:ascii="Times New Roman" w:hAnsi="Times New Roman" w:eastAsia="方正仿宋_GBK" w:cs="Times New Roman"/>
                <w:color w:val="000000"/>
                <w:sz w:val="22"/>
                <w:szCs w:val="22"/>
                <w:highlight w:val="none"/>
              </w:rPr>
              <w:t>根据</w:t>
            </w:r>
            <w:r>
              <w:rPr>
                <w:rFonts w:hint="eastAsia" w:ascii="Times New Roman" w:hAnsi="Times New Roman" w:eastAsia="方正仿宋_GBK" w:cs="Times New Roman"/>
                <w:color w:val="000000"/>
                <w:sz w:val="22"/>
                <w:szCs w:val="22"/>
                <w:highlight w:val="none"/>
              </w:rPr>
              <w:t>供应商</w:t>
            </w:r>
            <w:r>
              <w:rPr>
                <w:rFonts w:hint="default" w:ascii="Times New Roman" w:hAnsi="Times New Roman" w:eastAsia="方正仿宋_GBK" w:cs="Times New Roman"/>
                <w:color w:val="000000"/>
                <w:sz w:val="22"/>
                <w:szCs w:val="22"/>
                <w:highlight w:val="none"/>
              </w:rPr>
              <w:t>提供的</w:t>
            </w:r>
            <w:r>
              <w:rPr>
                <w:rFonts w:hint="eastAsia" w:ascii="Times New Roman" w:hAnsi="Times New Roman" w:eastAsia="方正仿宋_GBK" w:cs="Times New Roman"/>
                <w:color w:val="000000"/>
                <w:sz w:val="22"/>
                <w:szCs w:val="22"/>
                <w:highlight w:val="none"/>
              </w:rPr>
              <w:t>配送方案</w:t>
            </w:r>
            <w:r>
              <w:rPr>
                <w:rFonts w:hint="default" w:ascii="Times New Roman" w:hAnsi="Times New Roman" w:eastAsia="方正仿宋_GBK" w:cs="Times New Roman"/>
                <w:color w:val="000000"/>
                <w:sz w:val="22"/>
                <w:szCs w:val="22"/>
                <w:highlight w:val="none"/>
              </w:rPr>
              <w:t>进行综合评分，包括以下内容：</w:t>
            </w:r>
          </w:p>
          <w:p>
            <w:pPr>
              <w:keepNext w:val="0"/>
              <w:keepLines w:val="0"/>
              <w:suppressLineNumbers w:val="0"/>
              <w:spacing w:before="0" w:beforeAutospacing="0" w:after="0" w:afterAutospacing="0" w:line="0" w:lineRule="atLeast"/>
              <w:ind w:left="0" w:right="0"/>
              <w:rPr>
                <w:rFonts w:hint="default" w:ascii="Times New Roman" w:hAnsi="Times New Roman" w:eastAsia="方正仿宋_GBK" w:cs="Times New Roman"/>
                <w:color w:val="000000"/>
                <w:sz w:val="22"/>
                <w:szCs w:val="22"/>
                <w:highlight w:val="none"/>
              </w:rPr>
            </w:pPr>
            <w:r>
              <w:rPr>
                <w:rFonts w:hint="eastAsia" w:ascii="Times New Roman" w:hAnsi="Times New Roman" w:eastAsia="方正仿宋_GBK" w:cs="Times New Roman"/>
                <w:color w:val="000000"/>
                <w:sz w:val="22"/>
                <w:szCs w:val="22"/>
                <w:highlight w:val="none"/>
              </w:rPr>
              <w:t>①配送质量保障方案；</w:t>
            </w:r>
          </w:p>
          <w:p>
            <w:pPr>
              <w:keepNext w:val="0"/>
              <w:keepLines w:val="0"/>
              <w:suppressLineNumbers w:val="0"/>
              <w:spacing w:before="0" w:beforeAutospacing="0" w:after="0" w:afterAutospacing="0" w:line="0" w:lineRule="atLeast"/>
              <w:ind w:left="0" w:right="0"/>
              <w:rPr>
                <w:rFonts w:hint="default" w:ascii="Times New Roman" w:hAnsi="Times New Roman" w:eastAsia="方正仿宋_GBK" w:cs="Times New Roman"/>
                <w:color w:val="000000"/>
                <w:sz w:val="22"/>
                <w:szCs w:val="22"/>
                <w:highlight w:val="none"/>
              </w:rPr>
            </w:pPr>
            <w:r>
              <w:rPr>
                <w:rFonts w:hint="eastAsia" w:ascii="Times New Roman" w:hAnsi="Times New Roman" w:eastAsia="方正仿宋_GBK" w:cs="Times New Roman"/>
                <w:color w:val="000000"/>
                <w:sz w:val="22"/>
                <w:szCs w:val="22"/>
                <w:highlight w:val="none"/>
              </w:rPr>
              <w:t>②运输、装卸方案；</w:t>
            </w:r>
          </w:p>
          <w:p>
            <w:pPr>
              <w:keepNext w:val="0"/>
              <w:keepLines w:val="0"/>
              <w:suppressLineNumbers w:val="0"/>
              <w:spacing w:before="0" w:beforeAutospacing="0" w:after="0" w:afterAutospacing="0" w:line="0" w:lineRule="atLeast"/>
              <w:ind w:left="0" w:right="0"/>
              <w:rPr>
                <w:rFonts w:hint="default" w:ascii="Times New Roman" w:hAnsi="Times New Roman" w:eastAsia="方正仿宋_GBK" w:cs="Times New Roman"/>
                <w:color w:val="000000"/>
                <w:sz w:val="22"/>
                <w:szCs w:val="22"/>
                <w:highlight w:val="none"/>
              </w:rPr>
            </w:pPr>
            <w:r>
              <w:rPr>
                <w:rFonts w:hint="eastAsia" w:ascii="Times New Roman" w:hAnsi="Times New Roman" w:eastAsia="方正仿宋_GBK" w:cs="Times New Roman"/>
                <w:color w:val="000000"/>
                <w:sz w:val="22"/>
                <w:szCs w:val="22"/>
                <w:highlight w:val="none"/>
              </w:rPr>
              <w:t>③仓储方案；</w:t>
            </w:r>
          </w:p>
          <w:p>
            <w:pPr>
              <w:keepNext w:val="0"/>
              <w:keepLines w:val="0"/>
              <w:suppressLineNumbers w:val="0"/>
              <w:spacing w:before="0" w:beforeAutospacing="0" w:after="0" w:afterAutospacing="0" w:line="0" w:lineRule="atLeast"/>
              <w:ind w:left="0" w:right="0"/>
              <w:rPr>
                <w:rFonts w:hint="default" w:ascii="Times New Roman" w:hAnsi="Times New Roman" w:eastAsia="方正仿宋_GBK" w:cs="Times New Roman"/>
                <w:color w:val="000000"/>
                <w:sz w:val="22"/>
                <w:szCs w:val="22"/>
                <w:highlight w:val="none"/>
              </w:rPr>
            </w:pPr>
            <w:r>
              <w:rPr>
                <w:rFonts w:hint="eastAsia" w:ascii="Times New Roman" w:hAnsi="Times New Roman" w:eastAsia="方正仿宋_GBK" w:cs="Times New Roman"/>
                <w:color w:val="000000"/>
                <w:sz w:val="22"/>
                <w:szCs w:val="22"/>
                <w:highlight w:val="none"/>
              </w:rPr>
              <w:t>④配送线路设置；</w:t>
            </w:r>
          </w:p>
          <w:p>
            <w:pPr>
              <w:keepNext w:val="0"/>
              <w:keepLines w:val="0"/>
              <w:suppressLineNumbers w:val="0"/>
              <w:spacing w:before="0" w:beforeAutospacing="0" w:after="0" w:afterAutospacing="0" w:line="0" w:lineRule="atLeast"/>
              <w:ind w:left="0" w:right="0"/>
              <w:rPr>
                <w:rFonts w:hint="eastAsia" w:ascii="Times New Roman" w:hAnsi="Times New Roman" w:eastAsia="方正仿宋_GBK" w:cs="Times New Roman"/>
                <w:color w:val="000000"/>
                <w:sz w:val="22"/>
                <w:szCs w:val="22"/>
                <w:highlight w:val="none"/>
              </w:rPr>
            </w:pPr>
            <w:r>
              <w:rPr>
                <w:rFonts w:hint="eastAsia" w:ascii="Times New Roman" w:hAnsi="Times New Roman" w:eastAsia="方正仿宋_GBK" w:cs="Times New Roman"/>
                <w:color w:val="000000"/>
                <w:sz w:val="22"/>
                <w:szCs w:val="22"/>
                <w:highlight w:val="none"/>
              </w:rPr>
              <w:t>⑤运力调配计划。</w:t>
            </w:r>
          </w:p>
          <w:p>
            <w:pPr>
              <w:keepNext w:val="0"/>
              <w:keepLines w:val="0"/>
              <w:suppressLineNumbers w:val="0"/>
              <w:spacing w:before="0" w:beforeAutospacing="0" w:after="0" w:afterAutospacing="0" w:line="0" w:lineRule="atLeast"/>
              <w:ind w:left="0" w:right="0"/>
              <w:rPr>
                <w:rFonts w:hint="default" w:ascii="Times New Roman" w:hAnsi="Times New Roman" w:eastAsia="方正仿宋_GBK" w:cs="Times New Roman"/>
                <w:color w:val="000000"/>
                <w:sz w:val="22"/>
                <w:szCs w:val="22"/>
                <w:highlight w:val="none"/>
              </w:rPr>
            </w:pPr>
            <w:r>
              <w:rPr>
                <w:rFonts w:hint="eastAsia" w:ascii="Times New Roman" w:hAnsi="Times New Roman" w:eastAsia="方正仿宋_GBK" w:cs="Times New Roman"/>
                <w:color w:val="000000"/>
                <w:sz w:val="22"/>
                <w:szCs w:val="22"/>
                <w:highlight w:val="none"/>
              </w:rPr>
              <w:t>1、供应商每提供一项以上内容的得1.5分，最多得7.5分；</w:t>
            </w:r>
          </w:p>
          <w:p>
            <w:pPr>
              <w:keepNext w:val="0"/>
              <w:keepLines w:val="0"/>
              <w:suppressLineNumbers w:val="0"/>
              <w:spacing w:before="0" w:beforeAutospacing="0" w:after="0" w:afterAutospacing="0" w:line="0" w:lineRule="atLeast"/>
              <w:ind w:left="0" w:right="0"/>
              <w:rPr>
                <w:rFonts w:hint="eastAsia" w:ascii="Times New Roman" w:hAnsi="Times New Roman" w:eastAsia="方正仿宋_GBK" w:cs="Times New Roman"/>
                <w:color w:val="000000"/>
                <w:sz w:val="22"/>
                <w:szCs w:val="22"/>
                <w:highlight w:val="none"/>
              </w:rPr>
            </w:pPr>
            <w:r>
              <w:rPr>
                <w:rFonts w:hint="eastAsia" w:ascii="Times New Roman" w:hAnsi="Times New Roman" w:eastAsia="方正仿宋_GBK" w:cs="Times New Roman"/>
                <w:color w:val="000000"/>
                <w:sz w:val="22"/>
                <w:szCs w:val="22"/>
                <w:highlight w:val="none"/>
              </w:rPr>
              <w:t>2、在上述得分基础上，每有一项方案中内容根据本项目内容细化制定符合项目实际需求，且可保证配送服务实施的加2.5分，本项最多加12.5分。</w:t>
            </w:r>
          </w:p>
          <w:p>
            <w:pPr>
              <w:keepNext w:val="0"/>
              <w:keepLines w:val="0"/>
              <w:suppressLineNumbers w:val="0"/>
              <w:spacing w:before="0" w:beforeAutospacing="0" w:after="0" w:afterAutospacing="0" w:line="0" w:lineRule="atLeast"/>
              <w:ind w:left="0" w:right="0"/>
              <w:rPr>
                <w:rFonts w:hint="default" w:ascii="Times New Roman" w:hAnsi="Times New Roman" w:eastAsia="方正仿宋_GBK" w:cs="Times New Roman"/>
                <w:color w:val="000000"/>
                <w:kern w:val="2"/>
                <w:sz w:val="22"/>
                <w:szCs w:val="22"/>
                <w:highlight w:val="none"/>
                <w:lang w:val="en-US" w:eastAsia="zh-CN" w:bidi="ar-SA"/>
              </w:rPr>
            </w:pPr>
            <w:r>
              <w:rPr>
                <w:rFonts w:hint="eastAsia" w:ascii="Times New Roman" w:hAnsi="Times New Roman" w:eastAsia="方正仿宋_GBK" w:cs="Times New Roman"/>
                <w:color w:val="000000"/>
                <w:sz w:val="22"/>
                <w:szCs w:val="22"/>
                <w:highlight w:val="none"/>
              </w:rPr>
              <w:t>3、本项最多得20分。</w:t>
            </w:r>
          </w:p>
        </w:tc>
        <w:tc>
          <w:tcPr>
            <w:tcW w:w="924" w:type="dxa"/>
          </w:tcPr>
          <w:p>
            <w:pPr>
              <w:pStyle w:val="13"/>
              <w:keepNext w:val="0"/>
              <w:keepLines w:val="0"/>
              <w:suppressLineNumbers w:val="0"/>
              <w:spacing w:before="0" w:beforeAutospacing="0" w:after="0" w:afterAutospacing="0"/>
              <w:ind w:left="0" w:right="0"/>
              <w:rPr>
                <w:rFonts w:hint="default" w:ascii="Times New Roman" w:hAnsi="Times New Roman" w:eastAsia="方正仿宋_GBK"/>
                <w:color w:val="00000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tcPr>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r>
              <w:rPr>
                <w:rFonts w:hint="eastAsia" w:ascii="Times New Roman" w:hAnsi="Times New Roman" w:eastAsia="方正仿宋_GBK"/>
                <w:color w:val="000000"/>
                <w:sz w:val="24"/>
                <w:szCs w:val="24"/>
                <w:highlight w:val="none"/>
                <w:vertAlign w:val="baseline"/>
                <w:lang w:val="en-US" w:eastAsia="zh-CN"/>
              </w:rPr>
              <w:t>6</w:t>
            </w:r>
          </w:p>
        </w:tc>
        <w:tc>
          <w:tcPr>
            <w:tcW w:w="924" w:type="dxa"/>
            <w:vAlign w:val="top"/>
          </w:tcPr>
          <w:p>
            <w:pPr>
              <w:pStyle w:val="13"/>
              <w:keepNext w:val="0"/>
              <w:keepLines w:val="0"/>
              <w:suppressLineNumbers w:val="0"/>
              <w:spacing w:before="0" w:beforeAutospacing="0" w:after="0" w:afterAutospacing="0"/>
              <w:ind w:left="0" w:right="0"/>
              <w:rPr>
                <w:rFonts w:hint="eastAsia" w:ascii="Times New Roman" w:hAnsi="Times New Roman" w:eastAsia="方正仿宋_GBK" w:cs="Times New Roman"/>
                <w:color w:val="000000"/>
                <w:kern w:val="2"/>
                <w:sz w:val="22"/>
                <w:szCs w:val="22"/>
                <w:highlight w:val="none"/>
                <w:lang w:val="en-US" w:eastAsia="zh-CN" w:bidi="ar-SA"/>
              </w:rPr>
            </w:pPr>
          </w:p>
        </w:tc>
        <w:tc>
          <w:tcPr>
            <w:tcW w:w="1071"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2"/>
                <w:szCs w:val="22"/>
                <w:highlight w:val="none"/>
                <w:lang w:val="en-US" w:eastAsia="zh-CN" w:bidi="ar-SA"/>
              </w:rPr>
            </w:pPr>
            <w:r>
              <w:rPr>
                <w:rFonts w:hint="eastAsia" w:ascii="Times New Roman" w:hAnsi="Times New Roman" w:eastAsia="方正仿宋_GBK"/>
                <w:color w:val="000000"/>
                <w:sz w:val="22"/>
                <w:szCs w:val="22"/>
                <w:highlight w:val="none"/>
                <w:lang w:val="en-US" w:eastAsia="zh-CN"/>
              </w:rPr>
              <w:t>履约能力</w:t>
            </w:r>
            <w:r>
              <w:rPr>
                <w:rFonts w:hint="default" w:ascii="Times New Roman" w:hAnsi="Times New Roman" w:eastAsia="方正仿宋_GBK"/>
                <w:color w:val="000000"/>
                <w:sz w:val="22"/>
                <w:szCs w:val="22"/>
                <w:highlight w:val="none"/>
              </w:rPr>
              <w:t>（</w:t>
            </w:r>
            <w:r>
              <w:rPr>
                <w:rFonts w:hint="eastAsia" w:ascii="Times New Roman" w:hAnsi="Times New Roman" w:eastAsia="方正仿宋_GBK"/>
                <w:color w:val="000000"/>
                <w:sz w:val="22"/>
                <w:szCs w:val="22"/>
                <w:highlight w:val="none"/>
                <w:lang w:val="en-US" w:eastAsia="zh-CN"/>
              </w:rPr>
              <w:t>1</w:t>
            </w:r>
            <w:r>
              <w:rPr>
                <w:rFonts w:hint="default" w:ascii="Times New Roman" w:hAnsi="Times New Roman" w:eastAsia="方正仿宋_GBK"/>
                <w:color w:val="000000"/>
                <w:sz w:val="22"/>
                <w:szCs w:val="22"/>
                <w:highlight w:val="none"/>
              </w:rPr>
              <w:t>0%）</w:t>
            </w:r>
          </w:p>
        </w:tc>
        <w:tc>
          <w:tcPr>
            <w:tcW w:w="718"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2"/>
                <w:szCs w:val="22"/>
                <w:highlight w:val="none"/>
                <w:lang w:val="en-US" w:eastAsia="zh-CN" w:bidi="ar-SA"/>
              </w:rPr>
            </w:pPr>
            <w:r>
              <w:rPr>
                <w:rFonts w:hint="eastAsia" w:ascii="Times New Roman" w:hAnsi="Times New Roman" w:eastAsia="方正仿宋_GBK"/>
                <w:color w:val="000000"/>
                <w:sz w:val="22"/>
                <w:szCs w:val="22"/>
                <w:highlight w:val="none"/>
                <w:lang w:val="en-US" w:eastAsia="zh-CN"/>
              </w:rPr>
              <w:t>10分</w:t>
            </w:r>
          </w:p>
        </w:tc>
        <w:tc>
          <w:tcPr>
            <w:tcW w:w="5450" w:type="dxa"/>
            <w:vAlign w:val="center"/>
          </w:tcPr>
          <w:p>
            <w:pPr>
              <w:keepNext w:val="0"/>
              <w:keepLines w:val="0"/>
              <w:widowControl/>
              <w:suppressLineNumbers w:val="0"/>
              <w:spacing w:before="0" w:beforeAutospacing="0" w:after="0" w:afterAutospacing="0"/>
              <w:ind w:left="0" w:right="0"/>
              <w:rPr>
                <w:rFonts w:hint="eastAsia" w:ascii="Times New Roman" w:hAnsi="Times New Roman" w:eastAsia="方正仿宋_GBK" w:cs="Times New Roman"/>
                <w:color w:val="000000"/>
                <w:sz w:val="22"/>
                <w:szCs w:val="22"/>
                <w:highlight w:val="none"/>
              </w:rPr>
            </w:pPr>
            <w:r>
              <w:rPr>
                <w:rFonts w:hint="eastAsia" w:ascii="Times New Roman" w:hAnsi="Times New Roman" w:eastAsia="方正仿宋_GBK" w:cs="Times New Roman"/>
                <w:color w:val="000000"/>
                <w:sz w:val="22"/>
                <w:szCs w:val="22"/>
                <w:highlight w:val="none"/>
              </w:rPr>
              <w:t>1.供应商提供的服务人员中每有一名临床营养师或临床营养技师或注册营养师或注册营养技师的得</w:t>
            </w:r>
            <w:r>
              <w:rPr>
                <w:rFonts w:hint="eastAsia" w:ascii="Times New Roman" w:hAnsi="Times New Roman" w:eastAsia="方正仿宋_GBK" w:cs="Times New Roman"/>
                <w:color w:val="000000"/>
                <w:sz w:val="22"/>
                <w:szCs w:val="22"/>
                <w:highlight w:val="none"/>
                <w:lang w:val="en-US" w:eastAsia="zh-CN"/>
              </w:rPr>
              <w:t>1</w:t>
            </w:r>
            <w:r>
              <w:rPr>
                <w:rFonts w:hint="eastAsia" w:ascii="Times New Roman" w:hAnsi="Times New Roman" w:eastAsia="方正仿宋_GBK" w:cs="Times New Roman"/>
                <w:color w:val="000000"/>
                <w:sz w:val="22"/>
                <w:szCs w:val="22"/>
                <w:highlight w:val="none"/>
              </w:rPr>
              <w:t>分，本项最多得</w:t>
            </w:r>
            <w:r>
              <w:rPr>
                <w:rFonts w:hint="eastAsia" w:ascii="Times New Roman" w:hAnsi="Times New Roman" w:eastAsia="方正仿宋_GBK" w:cs="Times New Roman"/>
                <w:color w:val="000000"/>
                <w:sz w:val="22"/>
                <w:szCs w:val="22"/>
                <w:highlight w:val="none"/>
                <w:lang w:val="en-US" w:eastAsia="zh-CN"/>
              </w:rPr>
              <w:t>3</w:t>
            </w:r>
            <w:r>
              <w:rPr>
                <w:rFonts w:hint="eastAsia" w:ascii="Times New Roman" w:hAnsi="Times New Roman" w:eastAsia="方正仿宋_GBK" w:cs="Times New Roman"/>
                <w:color w:val="000000"/>
                <w:sz w:val="22"/>
                <w:szCs w:val="22"/>
                <w:highlight w:val="none"/>
              </w:rPr>
              <w:t>分。</w:t>
            </w:r>
          </w:p>
          <w:p>
            <w:pPr>
              <w:keepNext w:val="0"/>
              <w:keepLines w:val="0"/>
              <w:suppressLineNumbers w:val="0"/>
              <w:spacing w:before="0" w:beforeAutospacing="0" w:after="0" w:afterAutospacing="0" w:line="0" w:lineRule="atLeast"/>
              <w:ind w:left="0" w:right="0"/>
              <w:rPr>
                <w:rFonts w:hint="eastAsia" w:ascii="Times New Roman" w:hAnsi="Times New Roman" w:eastAsia="方正仿宋_GBK" w:cs="Times New Roman"/>
                <w:color w:val="000000"/>
                <w:kern w:val="2"/>
                <w:sz w:val="22"/>
                <w:szCs w:val="22"/>
                <w:highlight w:val="none"/>
                <w:lang w:val="en-US" w:eastAsia="zh-CN" w:bidi="ar-SA"/>
              </w:rPr>
            </w:pPr>
            <w:r>
              <w:rPr>
                <w:rFonts w:hint="eastAsia" w:ascii="Times New Roman" w:hAnsi="Times New Roman" w:eastAsia="方正仿宋_GBK" w:cs="Times New Roman"/>
                <w:color w:val="000000"/>
                <w:sz w:val="22"/>
                <w:szCs w:val="22"/>
                <w:highlight w:val="none"/>
              </w:rPr>
              <w:t>2.供应商自2020年1月1日（含）之日（以合同签订时间为准）具有类似项目经验的，每提供一个得</w:t>
            </w:r>
            <w:r>
              <w:rPr>
                <w:rFonts w:hint="eastAsia" w:ascii="Times New Roman" w:hAnsi="Times New Roman" w:eastAsia="方正仿宋_GBK" w:cs="Times New Roman"/>
                <w:color w:val="000000"/>
                <w:sz w:val="22"/>
                <w:szCs w:val="22"/>
                <w:highlight w:val="none"/>
                <w:lang w:val="en-US" w:eastAsia="zh-CN"/>
              </w:rPr>
              <w:t>1</w:t>
            </w:r>
            <w:r>
              <w:rPr>
                <w:rFonts w:hint="eastAsia" w:ascii="Times New Roman" w:hAnsi="Times New Roman" w:eastAsia="方正仿宋_GBK" w:cs="Times New Roman"/>
                <w:color w:val="000000"/>
                <w:sz w:val="22"/>
                <w:szCs w:val="22"/>
                <w:highlight w:val="none"/>
              </w:rPr>
              <w:t>分，本项最多得</w:t>
            </w:r>
            <w:r>
              <w:rPr>
                <w:rFonts w:hint="eastAsia" w:ascii="Times New Roman" w:hAnsi="Times New Roman" w:eastAsia="方正仿宋_GBK" w:cs="Times New Roman"/>
                <w:color w:val="000000"/>
                <w:sz w:val="22"/>
                <w:szCs w:val="22"/>
                <w:highlight w:val="none"/>
                <w:lang w:val="en-US" w:eastAsia="zh-CN"/>
              </w:rPr>
              <w:t>7</w:t>
            </w:r>
            <w:r>
              <w:rPr>
                <w:rFonts w:hint="eastAsia" w:ascii="Times New Roman" w:hAnsi="Times New Roman" w:eastAsia="方正仿宋_GBK" w:cs="Times New Roman"/>
                <w:color w:val="000000"/>
                <w:sz w:val="22"/>
                <w:szCs w:val="22"/>
                <w:highlight w:val="none"/>
              </w:rPr>
              <w:t>分。</w:t>
            </w:r>
            <w:r>
              <w:rPr>
                <w:rFonts w:hint="eastAsia" w:ascii="Times New Roman" w:hAnsi="Times New Roman" w:eastAsia="方正仿宋_GBK" w:cs="Times New Roman"/>
                <w:color w:val="000000"/>
                <w:sz w:val="22"/>
                <w:szCs w:val="22"/>
                <w:highlight w:val="none"/>
              </w:rPr>
              <w:br w:type="textWrapping"/>
            </w:r>
          </w:p>
        </w:tc>
        <w:tc>
          <w:tcPr>
            <w:tcW w:w="924" w:type="dxa"/>
          </w:tcPr>
          <w:p>
            <w:pPr>
              <w:pStyle w:val="13"/>
              <w:keepNext w:val="0"/>
              <w:keepLines w:val="0"/>
              <w:suppressLineNumbers w:val="0"/>
              <w:spacing w:before="0" w:beforeAutospacing="0" w:after="0" w:afterAutospacing="0"/>
              <w:ind w:left="0" w:right="0"/>
              <w:rPr>
                <w:rFonts w:hint="default" w:ascii="Times New Roman" w:hAnsi="Times New Roman" w:eastAsia="方正仿宋_GBK"/>
                <w:color w:val="000000"/>
                <w:sz w:val="24"/>
                <w:szCs w:val="24"/>
                <w:highlight w:val="none"/>
                <w:vertAlign w:val="baseline"/>
              </w:rPr>
            </w:pPr>
            <w:r>
              <w:rPr>
                <w:rFonts w:hint="eastAsia" w:ascii="Times New Roman" w:hAnsi="Times New Roman" w:eastAsia="方正仿宋_GBK" w:cs="Times New Roman"/>
                <w:color w:val="000000"/>
                <w:sz w:val="22"/>
                <w:szCs w:val="22"/>
                <w:highlight w:val="none"/>
              </w:rPr>
              <w:t>注：类似项目经验是指：营养制剂供应服务类业绩</w:t>
            </w:r>
          </w:p>
        </w:tc>
      </w:tr>
    </w:tbl>
    <w:p>
      <w:pPr>
        <w:pStyle w:val="13"/>
        <w:rPr>
          <w:rFonts w:ascii="Times New Roman" w:hAnsi="Times New Roman" w:eastAsia="方正仿宋_GBK"/>
          <w:color w:val="000000"/>
          <w:sz w:val="24"/>
          <w:szCs w:val="24"/>
          <w:highlight w:val="none"/>
        </w:rPr>
      </w:pPr>
    </w:p>
    <w:p>
      <w:pPr>
        <w:spacing w:line="520" w:lineRule="exact"/>
        <w:ind w:firstLine="438" w:firstLineChars="200"/>
        <w:jc w:val="left"/>
        <w:rPr>
          <w:rFonts w:ascii="方正仿宋_GBK" w:hAnsi="仿宋" w:eastAsia="仿宋" w:cs="仿宋"/>
          <w:color w:val="auto"/>
          <w:kern w:val="0"/>
          <w:szCs w:val="28"/>
          <w:highlight w:val="none"/>
        </w:rPr>
      </w:pPr>
      <w:r>
        <w:rPr>
          <w:rFonts w:ascii="Times New Roman" w:hAnsi="Times New Roman" w:eastAsia="方正仿宋_GBK"/>
          <w:color w:val="000000"/>
          <w:szCs w:val="24"/>
          <w:highlight w:val="none"/>
        </w:rPr>
        <w:t>说明：评审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评审小组应当将其作为无效投标处理。</w:t>
      </w:r>
    </w:p>
    <w:p>
      <w:pPr>
        <w:spacing w:before="156" w:after="156" w:line="520" w:lineRule="exact"/>
        <w:ind w:firstLine="438" w:firstLineChars="200"/>
        <w:jc w:val="left"/>
        <w:outlineLvl w:val="1"/>
        <w:rPr>
          <w:rFonts w:eastAsia="仿宋" w:cs="宋体"/>
          <w:b/>
          <w:bCs/>
          <w:color w:val="auto"/>
          <w:szCs w:val="28"/>
          <w:highlight w:val="none"/>
        </w:rPr>
      </w:pPr>
      <w:bookmarkStart w:id="341" w:name="_Toc48837318"/>
      <w:bookmarkStart w:id="342" w:name="_Toc27554"/>
      <w:bookmarkStart w:id="343" w:name="_Toc3598"/>
      <w:bookmarkStart w:id="344" w:name="_Toc14187"/>
      <w:bookmarkStart w:id="345" w:name="_Toc2463"/>
      <w:bookmarkStart w:id="346" w:name="_Toc65512153"/>
      <w:bookmarkStart w:id="347" w:name="_Toc13857"/>
      <w:bookmarkStart w:id="348" w:name="_Toc19280"/>
      <w:bookmarkStart w:id="349" w:name="_Toc12698"/>
      <w:bookmarkStart w:id="350" w:name="_Toc23685"/>
      <w:bookmarkStart w:id="351" w:name="_Toc16350"/>
      <w:bookmarkStart w:id="352" w:name="_Toc16220"/>
      <w:bookmarkStart w:id="353" w:name="_Toc30220"/>
      <w:bookmarkStart w:id="354" w:name="_Toc5155"/>
      <w:bookmarkStart w:id="355" w:name="_Toc32306"/>
      <w:bookmarkStart w:id="356" w:name="_Toc32421"/>
      <w:bookmarkStart w:id="357" w:name="_Toc17257"/>
      <w:bookmarkStart w:id="358" w:name="_Toc731"/>
      <w:bookmarkStart w:id="359" w:name="_Toc20884"/>
      <w:bookmarkStart w:id="360" w:name="_Toc3301"/>
      <w:bookmarkStart w:id="361" w:name="_Toc16045"/>
      <w:bookmarkStart w:id="362" w:name="_Toc521"/>
      <w:bookmarkStart w:id="363" w:name="_Toc2703"/>
      <w:bookmarkStart w:id="364" w:name="_Toc26383"/>
      <w:bookmarkStart w:id="365" w:name="_Toc22532"/>
      <w:bookmarkStart w:id="366" w:name="_Toc8076"/>
      <w:bookmarkStart w:id="367" w:name="_Toc32107"/>
      <w:bookmarkStart w:id="368" w:name="_Toc2090"/>
      <w:r>
        <w:rPr>
          <w:rFonts w:hint="eastAsia" w:eastAsia="仿宋" w:cs="宋体"/>
          <w:b/>
          <w:bCs/>
          <w:color w:val="auto"/>
          <w:szCs w:val="28"/>
          <w:highlight w:val="none"/>
          <w:lang w:eastAsia="zh-CN"/>
        </w:rPr>
        <w:t>四</w:t>
      </w:r>
      <w:r>
        <w:rPr>
          <w:rFonts w:hint="eastAsia" w:eastAsia="仿宋" w:cs="宋体"/>
          <w:b/>
          <w:bCs/>
          <w:color w:val="auto"/>
          <w:szCs w:val="28"/>
          <w:highlight w:val="none"/>
        </w:rPr>
        <w:t>、无效响应</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spacing w:line="520" w:lineRule="exact"/>
        <w:ind w:firstLine="438" w:firstLineChars="200"/>
        <w:jc w:val="left"/>
        <w:rPr>
          <w:rFonts w:ascii="方正仿宋_GBK" w:hAnsi="仿宋" w:eastAsia="仿宋" w:cs="仿宋"/>
          <w:color w:val="auto"/>
          <w:kern w:val="0"/>
          <w:szCs w:val="28"/>
          <w:highlight w:val="none"/>
        </w:rPr>
      </w:pPr>
      <w:bookmarkStart w:id="369" w:name="_Toc493506302"/>
      <w:bookmarkStart w:id="370" w:name="_Toc495592658"/>
      <w:bookmarkStart w:id="371" w:name="_Toc492721019"/>
      <w:r>
        <w:rPr>
          <w:rFonts w:hint="eastAsia" w:ascii="方正仿宋_GBK" w:hAnsi="仿宋" w:eastAsia="仿宋" w:cs="仿宋"/>
          <w:color w:val="auto"/>
          <w:kern w:val="0"/>
          <w:szCs w:val="28"/>
          <w:highlight w:val="none"/>
        </w:rPr>
        <w:t>供应商发生以下条款情况之一者，为无效响应，其响应文件将被拒绝：</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（一）供应商不符合规定的资格条件的；</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（二）供应商的法定代表人（或其授权代表）或自然人未参加</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（三）</w:t>
      </w:r>
      <w:bookmarkStart w:id="372" w:name="_Hlk84856470"/>
      <w:r>
        <w:rPr>
          <w:rFonts w:hint="eastAsia" w:ascii="方正仿宋_GBK" w:hAnsi="仿宋" w:eastAsia="仿宋" w:cs="仿宋"/>
          <w:color w:val="auto"/>
          <w:kern w:val="0"/>
          <w:szCs w:val="28"/>
          <w:highlight w:val="none"/>
        </w:rPr>
        <w:t>供应商所提交的响应文件</w:t>
      </w:r>
      <w:bookmarkEnd w:id="372"/>
      <w:r>
        <w:rPr>
          <w:rFonts w:hint="eastAsia" w:ascii="方正仿宋_GBK" w:hAnsi="仿宋" w:eastAsia="仿宋" w:cs="仿宋"/>
          <w:color w:val="auto"/>
          <w:kern w:val="0"/>
          <w:szCs w:val="28"/>
          <w:highlight w:val="none"/>
        </w:rPr>
        <w:t>不按</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文件规定签字、盖章；</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（四）</w:t>
      </w:r>
      <w:r>
        <w:rPr>
          <w:rFonts w:ascii="Times New Roman" w:hAnsi="Times New Roman" w:eastAsia="方正仿宋_GBK"/>
          <w:color w:val="000000"/>
          <w:kern w:val="0"/>
          <w:szCs w:val="28"/>
          <w:highlight w:val="none"/>
        </w:rPr>
        <w:t>供应商未按报价要求进行全部报价的；</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（五）</w:t>
      </w:r>
      <w:bookmarkStart w:id="373" w:name="_Hlk84856597"/>
      <w:r>
        <w:rPr>
          <w:rFonts w:hint="eastAsia" w:ascii="方正仿宋_GBK" w:hAnsi="仿宋" w:eastAsia="仿宋" w:cs="仿宋"/>
          <w:color w:val="auto"/>
          <w:kern w:val="0"/>
          <w:szCs w:val="28"/>
          <w:highlight w:val="none"/>
        </w:rPr>
        <w:t>单位负责人为同一人或者存在直接控股、管理关系的不同供应商，参加同一合同项下的政府采购活动的；</w:t>
      </w:r>
      <w:bookmarkEnd w:id="373"/>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（六）为</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项目提供整体设计、规范编制或者项目管理、监理、检测等服务的供应商，再参加该采购项目的其他采购活动；</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（七）供应商</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有效期不满足</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文件要求的；</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（八）供应商组成联合体响应的（</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文件载明不接受联合体时适用）；</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（九）供应商响应文件内容有与国家现行法律法规相违背的内容，或附有采购人无法接受的条件。</w:t>
      </w:r>
    </w:p>
    <w:p>
      <w:pPr>
        <w:snapToGrid w:val="0"/>
        <w:spacing w:line="400" w:lineRule="exact"/>
        <w:ind w:firstLine="465"/>
        <w:rPr>
          <w:rFonts w:hint="eastAsia" w:ascii="方正仿宋_GBK" w:hAnsi="宋体"/>
          <w:color w:val="auto"/>
          <w:szCs w:val="24"/>
          <w:highlight w:val="none"/>
        </w:rPr>
      </w:pPr>
      <w:r>
        <w:rPr>
          <w:rFonts w:hint="eastAsia" w:ascii="方正仿宋_GBK" w:hAnsi="宋体"/>
          <w:color w:val="auto"/>
          <w:szCs w:val="24"/>
          <w:highlight w:val="none"/>
        </w:rPr>
        <w:t>（十）法律、法规和</w:t>
      </w:r>
      <w:r>
        <w:rPr>
          <w:rFonts w:hint="eastAsia" w:ascii="方正仿宋_GBK" w:hAnsi="宋体"/>
          <w:color w:val="auto"/>
          <w:szCs w:val="24"/>
          <w:highlight w:val="none"/>
          <w:lang w:eastAsia="zh-CN"/>
        </w:rPr>
        <w:t>遴选</w:t>
      </w:r>
      <w:r>
        <w:rPr>
          <w:rFonts w:hint="eastAsia" w:ascii="方正仿宋_GBK" w:hAnsi="宋体"/>
          <w:color w:val="auto"/>
          <w:szCs w:val="24"/>
          <w:highlight w:val="none"/>
        </w:rPr>
        <w:t>文件规定的其他无效情形。</w:t>
      </w:r>
    </w:p>
    <w:p>
      <w:pPr>
        <w:pStyle w:val="7"/>
        <w:ind w:firstLine="438" w:firstLineChars="200"/>
        <w:rPr>
          <w:rFonts w:ascii="Times New Roman" w:hAnsi="Times New Roman" w:eastAsia="方正仿宋_GBK"/>
          <w:color w:val="000000"/>
          <w:kern w:val="0"/>
          <w:szCs w:val="28"/>
          <w:highlight w:val="none"/>
        </w:rPr>
      </w:pPr>
      <w:r>
        <w:rPr>
          <w:rFonts w:ascii="Times New Roman" w:hAnsi="Times New Roman" w:eastAsia="方正仿宋_GBK"/>
          <w:color w:val="000000"/>
          <w:kern w:val="0"/>
          <w:szCs w:val="28"/>
          <w:highlight w:val="none"/>
        </w:rPr>
        <w:t>（</w:t>
      </w:r>
      <w:r>
        <w:rPr>
          <w:rFonts w:hint="eastAsia" w:ascii="Times New Roman" w:hAnsi="Times New Roman"/>
          <w:color w:val="000000"/>
          <w:kern w:val="0"/>
          <w:szCs w:val="28"/>
          <w:highlight w:val="none"/>
          <w:lang w:val="en-US" w:eastAsia="zh-CN"/>
        </w:rPr>
        <w:t>十一</w:t>
      </w:r>
      <w:r>
        <w:rPr>
          <w:rFonts w:ascii="Times New Roman" w:hAnsi="Times New Roman" w:eastAsia="方正仿宋_GBK"/>
          <w:color w:val="000000"/>
          <w:kern w:val="0"/>
          <w:szCs w:val="28"/>
          <w:highlight w:val="none"/>
        </w:rPr>
        <w:t>）供应商投标报价或者某些分项报价明显不合理或者低于成本，不能证明其报价合理性的；</w:t>
      </w:r>
      <w:bookmarkStart w:id="374" w:name="_Toc17719"/>
      <w:bookmarkStart w:id="375" w:name="_Toc26852"/>
      <w:bookmarkStart w:id="376" w:name="_Toc28559"/>
      <w:bookmarkStart w:id="377" w:name="_Toc938"/>
      <w:bookmarkStart w:id="378" w:name="_Toc8728"/>
      <w:bookmarkStart w:id="379" w:name="_Toc8228"/>
      <w:bookmarkStart w:id="380" w:name="_Toc28569"/>
      <w:bookmarkStart w:id="381" w:name="_Toc18935"/>
      <w:bookmarkStart w:id="382" w:name="_Toc7367"/>
      <w:bookmarkStart w:id="383" w:name="_Toc11565"/>
      <w:bookmarkStart w:id="384" w:name="_Toc21144"/>
      <w:bookmarkStart w:id="385" w:name="_Toc11445"/>
      <w:bookmarkStart w:id="386" w:name="_Toc7917"/>
      <w:bookmarkStart w:id="387" w:name="_Toc65512154"/>
      <w:bookmarkStart w:id="388" w:name="_Toc15957"/>
      <w:bookmarkStart w:id="389" w:name="_Toc26329"/>
      <w:bookmarkStart w:id="390" w:name="_Toc9753"/>
      <w:bookmarkStart w:id="391" w:name="_Toc3785"/>
      <w:bookmarkStart w:id="392" w:name="_Toc10520"/>
      <w:bookmarkStart w:id="393" w:name="_Toc11451"/>
      <w:bookmarkStart w:id="394" w:name="_Toc16889"/>
      <w:bookmarkStart w:id="395" w:name="_Toc29713"/>
      <w:bookmarkStart w:id="396" w:name="_Toc1197"/>
      <w:bookmarkStart w:id="397" w:name="_Toc17334"/>
      <w:bookmarkStart w:id="398" w:name="_Toc48837319"/>
      <w:bookmarkStart w:id="399" w:name="_Toc2147"/>
      <w:bookmarkStart w:id="400" w:name="_Toc29865"/>
      <w:bookmarkStart w:id="401" w:name="_Toc19464"/>
    </w:p>
    <w:p>
      <w:pPr>
        <w:pStyle w:val="7"/>
        <w:ind w:firstLine="438" w:firstLineChars="200"/>
        <w:rPr>
          <w:rFonts w:eastAsia="仿宋" w:cs="宋体"/>
          <w:b/>
          <w:bCs/>
          <w:color w:val="auto"/>
          <w:szCs w:val="28"/>
          <w:highlight w:val="none"/>
        </w:rPr>
      </w:pPr>
      <w:r>
        <w:rPr>
          <w:rFonts w:hint="eastAsia" w:eastAsia="仿宋" w:cs="宋体"/>
          <w:b/>
          <w:bCs/>
          <w:color w:val="auto"/>
          <w:szCs w:val="28"/>
          <w:highlight w:val="none"/>
          <w:lang w:eastAsia="zh-CN"/>
        </w:rPr>
        <w:t>五</w:t>
      </w:r>
      <w:r>
        <w:rPr>
          <w:rFonts w:hint="eastAsia" w:eastAsia="仿宋" w:cs="宋体"/>
          <w:b/>
          <w:bCs/>
          <w:color w:val="auto"/>
          <w:szCs w:val="28"/>
          <w:highlight w:val="none"/>
        </w:rPr>
        <w:t>、</w:t>
      </w:r>
      <w:bookmarkEnd w:id="369"/>
      <w:bookmarkEnd w:id="370"/>
      <w:bookmarkEnd w:id="371"/>
      <w:r>
        <w:rPr>
          <w:rFonts w:hint="eastAsia" w:eastAsia="仿宋" w:cs="宋体"/>
          <w:b/>
          <w:bCs/>
          <w:color w:val="auto"/>
          <w:szCs w:val="28"/>
          <w:highlight w:val="none"/>
        </w:rPr>
        <w:t>采购终止</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出现下列情形之一的，采购人或者采购代理机构应当终止</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采购活动，发布项目终止公告并说明原因，重新开展采购活动：</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（一）因情况变化，不再符合规定的</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采购方式适用情形的；</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（二）出现影响采购公正的违法、违规行为的；</w:t>
      </w:r>
    </w:p>
    <w:p>
      <w:pPr>
        <w:spacing w:line="520" w:lineRule="exact"/>
        <w:ind w:firstLine="438" w:firstLineChars="200"/>
        <w:jc w:val="left"/>
        <w:rPr>
          <w:rFonts w:ascii="方正仿宋_GBK" w:hAnsi="仿宋" w:eastAsia="仿宋" w:cs="仿宋"/>
          <w:color w:val="auto"/>
          <w:kern w:val="0"/>
          <w:szCs w:val="28"/>
          <w:highlight w:val="none"/>
        </w:rPr>
        <w:sectPr>
          <w:pgSz w:w="11907" w:h="16840"/>
          <w:pgMar w:top="1134" w:right="1191" w:bottom="1134" w:left="1304" w:header="794" w:footer="992" w:gutter="0"/>
          <w:pgBorders>
            <w:top w:val="none" w:sz="0" w:space="0"/>
            <w:left w:val="none" w:sz="0" w:space="0"/>
            <w:bottom w:val="none" w:sz="0" w:space="0"/>
            <w:right w:val="none" w:sz="0" w:space="0"/>
          </w:pgBorders>
          <w:pgNumType w:fmt="decimal"/>
          <w:cols w:space="720" w:num="1"/>
          <w:docGrid w:type="linesAndChars" w:linePitch="393" w:charSpace="-4325"/>
        </w:sectPr>
      </w:pPr>
      <w:r>
        <w:rPr>
          <w:rFonts w:hint="eastAsia" w:ascii="方正仿宋_GBK" w:hAnsi="仿宋" w:eastAsia="仿宋" w:cs="仿宋"/>
          <w:color w:val="auto"/>
          <w:kern w:val="0"/>
          <w:szCs w:val="28"/>
          <w:highlight w:val="none"/>
        </w:rPr>
        <w:t>（三）在采购过程中符合要求的供应商或者报价未超过采购预算的供应商不足3家的。</w:t>
      </w:r>
    </w:p>
    <w:bookmarkEnd w:id="340"/>
    <w:p>
      <w:pPr>
        <w:pStyle w:val="3"/>
        <w:numPr>
          <w:ilvl w:val="0"/>
          <w:numId w:val="0"/>
        </w:numPr>
        <w:spacing w:before="120" w:after="120"/>
        <w:ind w:leftChars="0"/>
        <w:jc w:val="center"/>
        <w:rPr>
          <w:color w:val="auto"/>
          <w:szCs w:val="22"/>
          <w:highlight w:val="none"/>
        </w:rPr>
      </w:pPr>
      <w:bookmarkStart w:id="402" w:name="_Toc28550"/>
      <w:bookmarkStart w:id="403" w:name="_Toc31912"/>
      <w:bookmarkStart w:id="404" w:name="_Toc19943"/>
      <w:bookmarkStart w:id="405" w:name="_Toc25684"/>
      <w:bookmarkStart w:id="406" w:name="_Toc48837320"/>
      <w:bookmarkStart w:id="407" w:name="_Toc26024"/>
      <w:bookmarkStart w:id="408" w:name="_Toc29941"/>
      <w:bookmarkStart w:id="409" w:name="_Toc2595"/>
      <w:bookmarkStart w:id="410" w:name="_Toc28113"/>
      <w:bookmarkStart w:id="411" w:name="_Toc27672"/>
      <w:bookmarkStart w:id="412" w:name="_Toc2670"/>
      <w:bookmarkStart w:id="413" w:name="_Toc1914"/>
      <w:bookmarkStart w:id="414" w:name="_Toc23757"/>
      <w:bookmarkStart w:id="415" w:name="_Toc17877"/>
      <w:bookmarkStart w:id="416" w:name="_Toc21571"/>
      <w:bookmarkStart w:id="417" w:name="_Toc10626"/>
      <w:bookmarkStart w:id="418" w:name="_Toc14826"/>
      <w:bookmarkStart w:id="419" w:name="_Toc3704"/>
      <w:bookmarkStart w:id="420" w:name="_Toc30537"/>
      <w:bookmarkStart w:id="421" w:name="_Toc11334"/>
      <w:bookmarkStart w:id="422" w:name="_Toc11106"/>
      <w:bookmarkStart w:id="423" w:name="_Toc6408"/>
      <w:bookmarkStart w:id="424" w:name="_Toc7488"/>
      <w:bookmarkStart w:id="425" w:name="_Toc28095"/>
      <w:bookmarkStart w:id="426" w:name="_Toc12249"/>
      <w:bookmarkStart w:id="427" w:name="_Toc11270"/>
      <w:bookmarkStart w:id="428" w:name="_Toc25557"/>
      <w:bookmarkStart w:id="429" w:name="_Toc30219"/>
      <w:r>
        <w:rPr>
          <w:rFonts w:hint="eastAsia"/>
          <w:color w:val="auto"/>
          <w:szCs w:val="22"/>
          <w:highlight w:val="none"/>
          <w:lang w:eastAsia="zh-CN"/>
        </w:rPr>
        <w:t>第五篇</w:t>
      </w:r>
      <w:r>
        <w:rPr>
          <w:rFonts w:hint="eastAsia"/>
          <w:color w:val="auto"/>
          <w:szCs w:val="22"/>
          <w:highlight w:val="none"/>
          <w:lang w:val="en-US" w:eastAsia="zh-CN"/>
        </w:rPr>
        <w:t xml:space="preserve">  </w:t>
      </w:r>
      <w:r>
        <w:rPr>
          <w:rFonts w:hint="eastAsia"/>
          <w:color w:val="auto"/>
          <w:szCs w:val="22"/>
          <w:highlight w:val="none"/>
        </w:rPr>
        <w:t>供应商须知</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keepNext w:val="0"/>
        <w:keepLines w:val="0"/>
        <w:pageBreakBefore w:val="0"/>
        <w:widowControl w:val="0"/>
        <w:kinsoku/>
        <w:wordWrap/>
        <w:overflowPunct/>
        <w:topLinePunct w:val="0"/>
        <w:autoSpaceDE/>
        <w:autoSpaceDN/>
        <w:bidi w:val="0"/>
        <w:adjustRightInd/>
        <w:spacing w:before="156" w:after="156" w:line="520" w:lineRule="exact"/>
        <w:ind w:firstLine="482" w:firstLineChars="200"/>
        <w:jc w:val="left"/>
        <w:textAlignment w:val="auto"/>
        <w:outlineLvl w:val="1"/>
        <w:rPr>
          <w:rFonts w:eastAsia="仿宋" w:cs="宋体"/>
          <w:b/>
          <w:bCs/>
          <w:color w:val="auto"/>
          <w:szCs w:val="28"/>
          <w:highlight w:val="none"/>
        </w:rPr>
      </w:pPr>
      <w:bookmarkStart w:id="430" w:name="_Toc1122"/>
      <w:bookmarkStart w:id="431" w:name="_Toc6608"/>
      <w:bookmarkStart w:id="432" w:name="_Toc48837321"/>
      <w:bookmarkStart w:id="433" w:name="_Toc11889"/>
      <w:bookmarkStart w:id="434" w:name="_Toc25930"/>
      <w:bookmarkStart w:id="435" w:name="_Toc7063"/>
      <w:bookmarkStart w:id="436" w:name="_Toc24005"/>
      <w:bookmarkStart w:id="437" w:name="_Toc18692"/>
      <w:bookmarkStart w:id="438" w:name="_Toc18984"/>
      <w:bookmarkStart w:id="439" w:name="_Toc26802"/>
      <w:bookmarkStart w:id="440" w:name="_Toc15846"/>
      <w:bookmarkStart w:id="441" w:name="_Toc4340"/>
      <w:bookmarkStart w:id="442" w:name="_Toc10737"/>
      <w:bookmarkStart w:id="443" w:name="_Toc24216"/>
      <w:bookmarkStart w:id="444" w:name="_Toc22525"/>
      <w:bookmarkStart w:id="445" w:name="_Toc65512156"/>
      <w:bookmarkStart w:id="446" w:name="_Toc11853"/>
      <w:bookmarkStart w:id="447" w:name="_Toc1817"/>
      <w:bookmarkStart w:id="448" w:name="_Toc17191"/>
      <w:bookmarkStart w:id="449" w:name="_Toc5449"/>
      <w:bookmarkStart w:id="450" w:name="_Toc8802"/>
      <w:bookmarkStart w:id="451" w:name="_Toc22160"/>
      <w:bookmarkStart w:id="452" w:name="_Toc28864"/>
      <w:bookmarkStart w:id="453" w:name="_Toc6949"/>
      <w:bookmarkStart w:id="454" w:name="_Toc4154"/>
      <w:bookmarkStart w:id="455" w:name="_Toc27012"/>
      <w:bookmarkStart w:id="456" w:name="_Toc22471"/>
      <w:bookmarkStart w:id="457" w:name="_Toc18065"/>
      <w:bookmarkStart w:id="458" w:name="_Toc7838"/>
      <w:bookmarkStart w:id="459" w:name="_Toc495592661"/>
      <w:r>
        <w:rPr>
          <w:rFonts w:hint="eastAsia" w:eastAsia="仿宋" w:cs="宋体"/>
          <w:b/>
          <w:bCs/>
          <w:color w:val="auto"/>
          <w:szCs w:val="28"/>
          <w:highlight w:val="none"/>
        </w:rPr>
        <w:t>一、</w:t>
      </w:r>
      <w:r>
        <w:rPr>
          <w:rFonts w:hint="eastAsia" w:eastAsia="仿宋" w:cs="宋体"/>
          <w:b/>
          <w:bCs/>
          <w:color w:val="auto"/>
          <w:szCs w:val="28"/>
          <w:highlight w:val="none"/>
          <w:lang w:eastAsia="zh-CN"/>
        </w:rPr>
        <w:t>遴选</w:t>
      </w:r>
      <w:r>
        <w:rPr>
          <w:rFonts w:hint="eastAsia" w:eastAsia="仿宋" w:cs="宋体"/>
          <w:b/>
          <w:bCs/>
          <w:color w:val="auto"/>
          <w:szCs w:val="28"/>
          <w:highlight w:val="none"/>
        </w:rPr>
        <w:t>费用</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参与</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的供应商应承担其编制响应文件与递交响应文件所涉及的一切费用，不论</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结果如何，采购人和采购代理机构在任何情况下无义务也无责任承担这些费用。</w:t>
      </w:r>
    </w:p>
    <w:bookmarkEnd w:id="459"/>
    <w:p>
      <w:pPr>
        <w:keepNext w:val="0"/>
        <w:keepLines w:val="0"/>
        <w:pageBreakBefore w:val="0"/>
        <w:widowControl w:val="0"/>
        <w:kinsoku/>
        <w:wordWrap/>
        <w:overflowPunct/>
        <w:topLinePunct w:val="0"/>
        <w:autoSpaceDE/>
        <w:autoSpaceDN/>
        <w:bidi w:val="0"/>
        <w:adjustRightInd/>
        <w:spacing w:before="156" w:after="156" w:line="520" w:lineRule="exact"/>
        <w:ind w:firstLine="482" w:firstLineChars="200"/>
        <w:jc w:val="left"/>
        <w:textAlignment w:val="auto"/>
        <w:outlineLvl w:val="1"/>
        <w:rPr>
          <w:rFonts w:eastAsia="仿宋" w:cs="宋体"/>
          <w:b/>
          <w:bCs/>
          <w:color w:val="auto"/>
          <w:szCs w:val="28"/>
          <w:highlight w:val="none"/>
        </w:rPr>
      </w:pPr>
      <w:bookmarkStart w:id="460" w:name="_Toc23225"/>
      <w:bookmarkStart w:id="461" w:name="_Toc15149"/>
      <w:bookmarkStart w:id="462" w:name="_Toc29110"/>
      <w:bookmarkStart w:id="463" w:name="_Toc48837322"/>
      <w:bookmarkStart w:id="464" w:name="_Toc6793"/>
      <w:bookmarkStart w:id="465" w:name="_Toc24459"/>
      <w:bookmarkStart w:id="466" w:name="_Toc28248"/>
      <w:bookmarkStart w:id="467" w:name="_Toc24056"/>
      <w:bookmarkStart w:id="468" w:name="_Toc26385"/>
      <w:bookmarkStart w:id="469" w:name="_Toc11594"/>
      <w:bookmarkStart w:id="470" w:name="_Toc6050"/>
      <w:bookmarkStart w:id="471" w:name="_Toc31824"/>
      <w:bookmarkStart w:id="472" w:name="_Toc3940"/>
      <w:bookmarkStart w:id="473" w:name="_Toc5175"/>
      <w:bookmarkStart w:id="474" w:name="_Toc17888"/>
      <w:bookmarkStart w:id="475" w:name="_Toc18712"/>
      <w:bookmarkStart w:id="476" w:name="_Toc15823"/>
      <w:bookmarkStart w:id="477" w:name="_Toc26700"/>
      <w:bookmarkStart w:id="478" w:name="_Toc466546926"/>
      <w:bookmarkStart w:id="479" w:name="_Toc65512157"/>
      <w:bookmarkStart w:id="480" w:name="_Toc32292"/>
      <w:bookmarkStart w:id="481" w:name="_Toc22862"/>
      <w:bookmarkStart w:id="482" w:name="_Toc2882"/>
      <w:bookmarkStart w:id="483" w:name="_Toc27928"/>
      <w:bookmarkStart w:id="484" w:name="_Toc6684"/>
      <w:bookmarkStart w:id="485" w:name="_Toc13873"/>
      <w:bookmarkStart w:id="486" w:name="_Toc8987"/>
      <w:bookmarkStart w:id="487" w:name="_Toc1425"/>
      <w:bookmarkStart w:id="488" w:name="_Toc7965"/>
      <w:bookmarkStart w:id="489" w:name="_Toc30461"/>
      <w:bookmarkStart w:id="490" w:name="_Toc17503"/>
      <w:bookmarkStart w:id="491" w:name="_Toc495592662"/>
      <w:r>
        <w:rPr>
          <w:rFonts w:hint="eastAsia" w:eastAsia="仿宋" w:cs="宋体"/>
          <w:b/>
          <w:bCs/>
          <w:color w:val="auto"/>
          <w:szCs w:val="28"/>
          <w:highlight w:val="none"/>
        </w:rPr>
        <w:t>二、</w:t>
      </w:r>
      <w:r>
        <w:rPr>
          <w:rFonts w:hint="eastAsia" w:eastAsia="仿宋" w:cs="宋体"/>
          <w:b/>
          <w:bCs/>
          <w:color w:val="auto"/>
          <w:szCs w:val="28"/>
          <w:highlight w:val="none"/>
          <w:lang w:eastAsia="zh-CN"/>
        </w:rPr>
        <w:t>遴选</w:t>
      </w:r>
      <w:r>
        <w:rPr>
          <w:rFonts w:hint="eastAsia" w:eastAsia="仿宋" w:cs="宋体"/>
          <w:b/>
          <w:bCs/>
          <w:color w:val="auto"/>
          <w:szCs w:val="28"/>
          <w:highlight w:val="none"/>
        </w:rPr>
        <w:t>文件</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ascii="方正仿宋_GBK" w:hAnsi="仿宋" w:eastAsia="仿宋" w:cs="仿宋"/>
          <w:color w:val="auto"/>
          <w:kern w:val="0"/>
          <w:szCs w:val="28"/>
          <w:highlight w:val="none"/>
        </w:rPr>
      </w:pPr>
      <w:bookmarkStart w:id="492" w:name="_Toc755"/>
      <w:bookmarkStart w:id="493" w:name="_Toc13318"/>
      <w:bookmarkStart w:id="494" w:name="_Toc24110"/>
      <w:bookmarkStart w:id="495" w:name="_Toc16031"/>
      <w:bookmarkStart w:id="496" w:name="_Toc12088"/>
      <w:bookmarkStart w:id="497" w:name="_Toc7846"/>
      <w:bookmarkStart w:id="498" w:name="_Toc65512158"/>
      <w:bookmarkStart w:id="499" w:name="_Toc6181"/>
      <w:bookmarkStart w:id="500" w:name="_Toc24924"/>
      <w:bookmarkStart w:id="501" w:name="_Toc3092"/>
      <w:bookmarkStart w:id="502" w:name="_Toc1475"/>
      <w:bookmarkStart w:id="503" w:name="_Toc144"/>
      <w:bookmarkStart w:id="504" w:name="_Toc48837323"/>
      <w:bookmarkStart w:id="505" w:name="_Toc2271"/>
      <w:bookmarkStart w:id="506" w:name="_Toc4761"/>
      <w:bookmarkStart w:id="507" w:name="_Toc12571"/>
      <w:bookmarkStart w:id="508" w:name="_Toc14931"/>
      <w:bookmarkStart w:id="509" w:name="_Toc1990"/>
      <w:bookmarkStart w:id="510" w:name="_Toc23284"/>
      <w:bookmarkStart w:id="511" w:name="_Toc14092"/>
      <w:bookmarkStart w:id="512" w:name="_Toc27538"/>
      <w:bookmarkStart w:id="513" w:name="_Toc24716"/>
      <w:bookmarkStart w:id="514" w:name="_Toc21645"/>
      <w:bookmarkStart w:id="515" w:name="_Toc4956"/>
      <w:bookmarkStart w:id="516" w:name="_Toc26135"/>
      <w:bookmarkStart w:id="517" w:name="_Toc18120"/>
      <w:bookmarkStart w:id="518" w:name="_Toc19275"/>
      <w:bookmarkStart w:id="519" w:name="_Toc18397"/>
      <w:r>
        <w:rPr>
          <w:rFonts w:hint="eastAsia" w:ascii="方正仿宋_GBK" w:hAnsi="仿宋" w:eastAsia="仿宋" w:cs="仿宋"/>
          <w:color w:val="auto"/>
          <w:kern w:val="0"/>
          <w:szCs w:val="28"/>
          <w:highlight w:val="none"/>
        </w:rPr>
        <w:t>（一）</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文件由采购邀请书，采购服务（技术）需求，采购商务需求，</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程序及方法、评审标准、无效响应和采购终止，供应商须知，响应文件编制要求等</w:t>
      </w:r>
      <w:r>
        <w:rPr>
          <w:rFonts w:hint="eastAsia" w:ascii="方正仿宋_GBK" w:hAnsi="仿宋" w:eastAsia="仿宋" w:cs="仿宋"/>
          <w:color w:val="auto"/>
          <w:kern w:val="0"/>
          <w:szCs w:val="28"/>
          <w:highlight w:val="none"/>
          <w:lang w:eastAsia="zh-CN"/>
        </w:rPr>
        <w:t>六</w:t>
      </w:r>
      <w:r>
        <w:rPr>
          <w:rFonts w:hint="eastAsia" w:ascii="方正仿宋_GBK" w:hAnsi="仿宋" w:eastAsia="仿宋" w:cs="仿宋"/>
          <w:color w:val="auto"/>
          <w:kern w:val="0"/>
          <w:szCs w:val="28"/>
          <w:highlight w:val="none"/>
        </w:rPr>
        <w:t>部分组成。</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（二）采购人所作的一切有效的书面通知、修改及补充，都是</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文件不可分割的部分。</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w:t>
      </w:r>
      <w:r>
        <w:rPr>
          <w:rFonts w:hint="eastAsia" w:ascii="方正仿宋_GBK" w:hAnsi="仿宋" w:eastAsia="仿宋" w:cs="仿宋"/>
          <w:color w:val="auto"/>
          <w:kern w:val="0"/>
          <w:szCs w:val="28"/>
          <w:highlight w:val="none"/>
          <w:lang w:eastAsia="zh-CN"/>
        </w:rPr>
        <w:t>三</w:t>
      </w:r>
      <w:r>
        <w:rPr>
          <w:rFonts w:hint="eastAsia" w:ascii="方正仿宋_GBK" w:hAnsi="仿宋" w:eastAsia="仿宋" w:cs="仿宋"/>
          <w:color w:val="auto"/>
          <w:kern w:val="0"/>
          <w:szCs w:val="28"/>
          <w:highlight w:val="none"/>
        </w:rPr>
        <w:t>）本</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文件中，</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小组根据与供应商进行</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可能实质性变动的内容为</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文件第二、三篇全部内容。</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w:t>
      </w:r>
      <w:r>
        <w:rPr>
          <w:rFonts w:hint="eastAsia" w:ascii="方正仿宋_GBK" w:hAnsi="仿宋" w:eastAsia="仿宋" w:cs="仿宋"/>
          <w:color w:val="auto"/>
          <w:kern w:val="0"/>
          <w:szCs w:val="28"/>
          <w:highlight w:val="none"/>
          <w:lang w:eastAsia="zh-CN"/>
        </w:rPr>
        <w:t>四</w:t>
      </w:r>
      <w:r>
        <w:rPr>
          <w:rFonts w:hint="eastAsia" w:ascii="方正仿宋_GBK" w:hAnsi="仿宋" w:eastAsia="仿宋" w:cs="仿宋"/>
          <w:color w:val="auto"/>
          <w:kern w:val="0"/>
          <w:szCs w:val="28"/>
          <w:highlight w:val="none"/>
        </w:rPr>
        <w:t>）评审的依据为</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文件和响应文件（含有效的书面承诺）。</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小组判断响应文件对</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文件的响应，仅基于响应文件本身而不靠外部证据。</w:t>
      </w:r>
    </w:p>
    <w:p>
      <w:pPr>
        <w:keepNext w:val="0"/>
        <w:keepLines w:val="0"/>
        <w:pageBreakBefore w:val="0"/>
        <w:widowControl w:val="0"/>
        <w:kinsoku/>
        <w:wordWrap/>
        <w:overflowPunct/>
        <w:topLinePunct w:val="0"/>
        <w:autoSpaceDE/>
        <w:autoSpaceDN/>
        <w:bidi w:val="0"/>
        <w:adjustRightInd/>
        <w:spacing w:before="156" w:after="156" w:line="520" w:lineRule="exact"/>
        <w:ind w:firstLine="482" w:firstLineChars="200"/>
        <w:jc w:val="left"/>
        <w:textAlignment w:val="auto"/>
        <w:outlineLvl w:val="1"/>
        <w:rPr>
          <w:rFonts w:eastAsia="仿宋" w:cs="宋体"/>
          <w:b/>
          <w:bCs/>
          <w:color w:val="auto"/>
          <w:szCs w:val="28"/>
          <w:highlight w:val="none"/>
        </w:rPr>
      </w:pPr>
      <w:r>
        <w:rPr>
          <w:rFonts w:hint="eastAsia" w:eastAsia="仿宋" w:cs="宋体"/>
          <w:b/>
          <w:bCs/>
          <w:color w:val="auto"/>
          <w:szCs w:val="28"/>
          <w:highlight w:val="none"/>
        </w:rPr>
        <w:t>三、</w:t>
      </w:r>
      <w:bookmarkEnd w:id="491"/>
      <w:r>
        <w:rPr>
          <w:rFonts w:hint="eastAsia" w:eastAsia="仿宋" w:cs="宋体"/>
          <w:b/>
          <w:bCs/>
          <w:color w:val="auto"/>
          <w:szCs w:val="28"/>
          <w:highlight w:val="none"/>
          <w:lang w:eastAsia="zh-CN"/>
        </w:rPr>
        <w:t>遴选</w:t>
      </w:r>
      <w:r>
        <w:rPr>
          <w:rFonts w:hint="eastAsia" w:eastAsia="仿宋" w:cs="宋体"/>
          <w:b/>
          <w:bCs/>
          <w:color w:val="auto"/>
          <w:szCs w:val="28"/>
          <w:highlight w:val="none"/>
        </w:rPr>
        <w:t>要求</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（一）响应文件</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1.供应商应当按照</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文件的要求编制响应文件，并对</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文件提出的要求和条件作出实质性响应，响应文件原则上采用软面订本，同时应编制完整的页码、目录。</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2.响应文件组成</w:t>
      </w:r>
    </w:p>
    <w:p>
      <w:pPr>
        <w:spacing w:line="520" w:lineRule="exact"/>
        <w:ind w:firstLine="480" w:firstLineChars="200"/>
        <w:jc w:val="left"/>
        <w:rPr>
          <w:rFonts w:ascii="宋体" w:hAnsi="宋体" w:eastAsia="仿宋" w:cs="宋体"/>
          <w:color w:val="auto"/>
          <w:highlight w:val="none"/>
        </w:rPr>
      </w:pPr>
      <w:r>
        <w:rPr>
          <w:rFonts w:hint="eastAsia" w:ascii="方正仿宋_GBK" w:hAnsi="仿宋" w:eastAsia="仿宋" w:cs="仿宋"/>
          <w:color w:val="auto"/>
          <w:kern w:val="0"/>
          <w:szCs w:val="28"/>
          <w:highlight w:val="none"/>
        </w:rPr>
        <w:t>响应文件由</w:t>
      </w:r>
      <w:r>
        <w:rPr>
          <w:rFonts w:hint="eastAsia" w:ascii="方正仿宋_GBK" w:hAnsi="仿宋" w:eastAsia="仿宋" w:cs="仿宋"/>
          <w:color w:val="auto"/>
          <w:kern w:val="0"/>
          <w:szCs w:val="28"/>
          <w:highlight w:val="none"/>
          <w:lang w:eastAsia="zh-CN"/>
        </w:rPr>
        <w:t>第六篇</w:t>
      </w:r>
      <w:r>
        <w:rPr>
          <w:rFonts w:hint="eastAsia" w:ascii="方正仿宋_GBK" w:hAnsi="仿宋" w:eastAsia="仿宋" w:cs="仿宋"/>
          <w:color w:val="auto"/>
          <w:kern w:val="0"/>
          <w:szCs w:val="28"/>
          <w:highlight w:val="none"/>
        </w:rPr>
        <w:t>“响应文件编制要求”规定的部分和供应商所作的一切有效补充、修改和承诺等文件组成，供应商应按照</w:t>
      </w:r>
      <w:r>
        <w:rPr>
          <w:rFonts w:hint="eastAsia" w:ascii="方正仿宋_GBK" w:hAnsi="仿宋" w:eastAsia="仿宋" w:cs="仿宋"/>
          <w:color w:val="auto"/>
          <w:kern w:val="0"/>
          <w:szCs w:val="28"/>
          <w:highlight w:val="none"/>
          <w:lang w:eastAsia="zh-CN"/>
        </w:rPr>
        <w:t>第六篇</w:t>
      </w:r>
      <w:r>
        <w:rPr>
          <w:rFonts w:hint="eastAsia" w:ascii="方正仿宋_GBK" w:hAnsi="仿宋" w:eastAsia="仿宋" w:cs="仿宋"/>
          <w:color w:val="auto"/>
          <w:kern w:val="0"/>
          <w:szCs w:val="28"/>
          <w:highlight w:val="none"/>
        </w:rPr>
        <w:t>“响应文件编制要求”规定的目录顺序组织编写和装订，也可在基本格式基础上对表格进行扩展，未规定格式的由供应商自定格式。</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（二）联合体</w:t>
      </w:r>
    </w:p>
    <w:p>
      <w:pPr>
        <w:spacing w:line="520" w:lineRule="exact"/>
        <w:ind w:firstLine="480" w:firstLineChars="200"/>
        <w:jc w:val="left"/>
        <w:rPr>
          <w:rFonts w:hint="eastAsia" w:eastAsia="方正仿宋_GBK"/>
          <w:color w:val="auto"/>
          <w:highlight w:val="none"/>
          <w:lang w:eastAsia="zh-CN"/>
        </w:rPr>
      </w:pPr>
      <w:bookmarkStart w:id="520" w:name="_Hlk84853302"/>
      <w:r>
        <w:rPr>
          <w:rFonts w:hint="eastAsia"/>
          <w:color w:val="auto"/>
          <w:highlight w:val="none"/>
          <w:lang w:eastAsia="zh-CN"/>
        </w:rPr>
        <w:t>本项目不接受联合体投标</w:t>
      </w:r>
    </w:p>
    <w:bookmarkEnd w:id="520"/>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（三）</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有效期：响应文件及有关承诺文件有效期为提交响应文件截止时间起90天。</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（四）修正错误</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1.若供应商所递交的响应文件或最后报价中的价格出现大写金额和小写金额不一致的错误，以大写金额修正为准。</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2.</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小组按上述修正错误的原则及方法修正供应商的报价，修正的方式为供应商作出书面澄清、说明或者补正，并加盖公章，或者由法定代表人（或其授权代表）或自然人（供应商为自然人）签字。供应商的澄清、说明或者补正不得超出响应文件的范围或者改变响应文件的实质性内容。</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调整后的报价对供应商具有约束作用，如果同意书不接受修正后的报价，则其响应文件将作为无效处理。</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（五）提交响应文件的份数和签署</w:t>
      </w:r>
    </w:p>
    <w:p>
      <w:pPr>
        <w:spacing w:line="520" w:lineRule="exact"/>
        <w:ind w:firstLine="480" w:firstLineChars="200"/>
        <w:jc w:val="left"/>
        <w:rPr>
          <w:rFonts w:ascii="方正仿宋_GBK" w:hAnsi="仿宋" w:eastAsia="仿宋" w:cs="仿宋"/>
          <w:b w:val="0"/>
          <w:bCs w:val="0"/>
          <w:color w:val="auto"/>
          <w:kern w:val="0"/>
          <w:szCs w:val="28"/>
          <w:highlight w:val="none"/>
          <w:u w:val="none"/>
        </w:rPr>
      </w:pPr>
      <w:bookmarkStart w:id="521" w:name="_Hlk84855761"/>
      <w:r>
        <w:rPr>
          <w:rFonts w:hint="eastAsia" w:ascii="方正仿宋_GBK" w:hAnsi="仿宋" w:eastAsia="仿宋" w:cs="仿宋"/>
          <w:b w:val="0"/>
          <w:bCs w:val="0"/>
          <w:color w:val="auto"/>
          <w:kern w:val="0"/>
          <w:szCs w:val="28"/>
          <w:highlight w:val="none"/>
          <w:u w:val="none"/>
        </w:rPr>
        <w:t>1.响应文件一式</w:t>
      </w:r>
      <w:r>
        <w:rPr>
          <w:rFonts w:hint="eastAsia" w:ascii="方正仿宋_GBK" w:hAnsi="仿宋" w:eastAsia="仿宋" w:cs="仿宋"/>
          <w:b w:val="0"/>
          <w:bCs w:val="0"/>
          <w:color w:val="auto"/>
          <w:kern w:val="0"/>
          <w:szCs w:val="28"/>
          <w:highlight w:val="none"/>
          <w:u w:val="none"/>
          <w:lang w:eastAsia="zh-CN"/>
        </w:rPr>
        <w:t>两</w:t>
      </w:r>
      <w:r>
        <w:rPr>
          <w:rFonts w:hint="eastAsia" w:ascii="方正仿宋_GBK" w:hAnsi="仿宋" w:eastAsia="仿宋" w:cs="仿宋"/>
          <w:b w:val="0"/>
          <w:bCs w:val="0"/>
          <w:color w:val="auto"/>
          <w:kern w:val="0"/>
          <w:szCs w:val="28"/>
          <w:highlight w:val="none"/>
          <w:u w:val="none"/>
        </w:rPr>
        <w:t>份，其中正本一份，副本一份，；副本可为正本的复印件，应与正本一致，如出现不一致情况以正本为准。</w:t>
      </w:r>
      <w:bookmarkEnd w:id="521"/>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2.在响应文件正本中，</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w:t>
      </w:r>
      <w:r>
        <w:rPr>
          <w:rFonts w:hint="eastAsia" w:ascii="方正仿宋_GBK" w:hAnsi="仿宋" w:eastAsia="仿宋" w:cs="仿宋"/>
          <w:color w:val="auto"/>
          <w:kern w:val="0"/>
          <w:szCs w:val="28"/>
          <w:highlight w:val="none"/>
          <w:lang w:eastAsia="zh-CN"/>
        </w:rPr>
        <w:t>第六篇</w:t>
      </w:r>
      <w:r>
        <w:rPr>
          <w:rFonts w:hint="eastAsia" w:ascii="方正仿宋_GBK" w:hAnsi="仿宋" w:eastAsia="仿宋" w:cs="仿宋"/>
          <w:color w:val="auto"/>
          <w:kern w:val="0"/>
          <w:szCs w:val="28"/>
          <w:highlight w:val="none"/>
        </w:rPr>
        <w:t>“响应文件编制要求”中规定签字、盖章的地方必须按其规定签字、盖章。</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（六）</w:t>
      </w:r>
      <w:bookmarkStart w:id="522" w:name="_Hlk84855887"/>
      <w:r>
        <w:rPr>
          <w:rFonts w:hint="eastAsia" w:ascii="方正仿宋_GBK" w:hAnsi="仿宋" w:eastAsia="仿宋" w:cs="仿宋"/>
          <w:color w:val="auto"/>
          <w:kern w:val="0"/>
          <w:szCs w:val="28"/>
          <w:highlight w:val="none"/>
        </w:rPr>
        <w:t>响应文件的递交</w:t>
      </w:r>
    </w:p>
    <w:p>
      <w:pPr>
        <w:spacing w:line="520" w:lineRule="exact"/>
        <w:ind w:firstLine="480" w:firstLineChars="200"/>
        <w:jc w:val="left"/>
        <w:rPr>
          <w:rFonts w:ascii="方正仿宋_GBK" w:hAnsi="仿宋" w:eastAsia="仿宋" w:cs="仿宋"/>
          <w:color w:val="auto"/>
          <w:kern w:val="0"/>
          <w:szCs w:val="28"/>
          <w:highlight w:val="none"/>
        </w:rPr>
      </w:pPr>
      <w:bookmarkStart w:id="523" w:name="_Toc466546928"/>
      <w:bookmarkStart w:id="524" w:name="_Toc5414"/>
      <w:bookmarkStart w:id="525" w:name="_Toc5765"/>
      <w:r>
        <w:rPr>
          <w:rFonts w:hint="eastAsia" w:ascii="方正仿宋_GBK" w:hAnsi="仿宋" w:eastAsia="仿宋" w:cs="仿宋"/>
          <w:color w:val="auto"/>
          <w:kern w:val="0"/>
          <w:szCs w:val="28"/>
          <w:highlight w:val="none"/>
        </w:rPr>
        <w:t>响应文件的正本、副本均应密封送达</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地点，应在封套上注明</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项目名称、供应商名称。若正本、副本分别进行密封的，还应在封套上注明“正本”、“副本”、“电子文档”字样。</w:t>
      </w:r>
      <w:bookmarkEnd w:id="522"/>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（七）响应文件语言：简体中文</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（八）供应商参与人员</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各个供应商应当派1-2名代表参与</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，至少1人应为法定代表人（或其授权代表）或自然人（供应商为自然人）。</w:t>
      </w:r>
    </w:p>
    <w:p>
      <w:pPr>
        <w:spacing w:before="156" w:after="156" w:line="520" w:lineRule="exact"/>
        <w:ind w:firstLine="482" w:firstLineChars="200"/>
        <w:jc w:val="left"/>
        <w:outlineLvl w:val="1"/>
        <w:rPr>
          <w:rFonts w:hint="eastAsia" w:eastAsia="仿宋" w:cs="宋体"/>
          <w:b/>
          <w:bCs/>
          <w:color w:val="auto"/>
          <w:szCs w:val="28"/>
          <w:highlight w:val="none"/>
          <w:lang w:eastAsia="zh-CN"/>
        </w:rPr>
      </w:pPr>
      <w:bookmarkStart w:id="526" w:name="_Toc30764"/>
      <w:bookmarkStart w:id="527" w:name="_Toc21225"/>
      <w:bookmarkStart w:id="528" w:name="_Toc6406"/>
      <w:bookmarkStart w:id="529" w:name="_Toc32602"/>
      <w:bookmarkStart w:id="530" w:name="_Toc6760"/>
      <w:bookmarkStart w:id="531" w:name="_Toc22957"/>
      <w:bookmarkStart w:id="532" w:name="_Toc13200"/>
      <w:bookmarkStart w:id="533" w:name="_Toc48837324"/>
      <w:bookmarkStart w:id="534" w:name="_Toc10288"/>
      <w:bookmarkStart w:id="535" w:name="_Toc21169"/>
      <w:bookmarkStart w:id="536" w:name="_Toc8534"/>
      <w:bookmarkStart w:id="537" w:name="_Toc25819"/>
      <w:bookmarkStart w:id="538" w:name="_Toc2330"/>
      <w:bookmarkStart w:id="539" w:name="_Toc30540"/>
      <w:bookmarkStart w:id="540" w:name="_Toc2524"/>
      <w:bookmarkStart w:id="541" w:name="_Toc8357"/>
      <w:bookmarkStart w:id="542" w:name="_Toc65512159"/>
      <w:bookmarkStart w:id="543" w:name="_Toc29101"/>
      <w:bookmarkStart w:id="544" w:name="_Toc20673"/>
      <w:bookmarkStart w:id="545" w:name="_Toc12616"/>
      <w:bookmarkStart w:id="546" w:name="_Toc29207"/>
      <w:bookmarkStart w:id="547" w:name="_Toc12777"/>
      <w:bookmarkStart w:id="548" w:name="_Toc2492"/>
      <w:bookmarkStart w:id="549" w:name="_Toc22394"/>
      <w:bookmarkStart w:id="550" w:name="_Toc29692"/>
      <w:bookmarkStart w:id="551" w:name="_Toc27362"/>
      <w:bookmarkStart w:id="552" w:name="_Toc830"/>
      <w:bookmarkStart w:id="553" w:name="_Toc4934"/>
      <w:r>
        <w:rPr>
          <w:rFonts w:hint="eastAsia" w:eastAsia="仿宋" w:cs="宋体"/>
          <w:b/>
          <w:bCs/>
          <w:color w:val="auto"/>
          <w:szCs w:val="28"/>
          <w:highlight w:val="none"/>
        </w:rPr>
        <w:t>四、</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Fonts w:hint="eastAsia" w:eastAsia="仿宋" w:cs="宋体"/>
          <w:b/>
          <w:bCs/>
          <w:color w:val="auto"/>
          <w:szCs w:val="28"/>
          <w:highlight w:val="none"/>
          <w:lang w:eastAsia="zh-CN"/>
        </w:rPr>
        <w:t>成交通知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方正仿宋_GBK" w:hAnsi="仿宋" w:eastAsia="仿宋" w:cs="仿宋"/>
          <w:color w:val="auto"/>
          <w:kern w:val="0"/>
          <w:szCs w:val="28"/>
          <w:highlight w:val="none"/>
        </w:rPr>
      </w:pPr>
      <w:bookmarkStart w:id="554" w:name="_Toc9838"/>
      <w:bookmarkStart w:id="555" w:name="_Toc16450"/>
      <w:bookmarkStart w:id="556" w:name="_Toc16539"/>
      <w:bookmarkStart w:id="557" w:name="_Toc28797"/>
      <w:bookmarkStart w:id="558" w:name="_Toc25570"/>
      <w:bookmarkStart w:id="559" w:name="_Toc14938"/>
      <w:bookmarkStart w:id="560" w:name="_Toc10869"/>
      <w:bookmarkStart w:id="561" w:name="_Toc59"/>
      <w:bookmarkStart w:id="562" w:name="_Toc13622"/>
      <w:bookmarkStart w:id="563" w:name="_Toc6889"/>
      <w:bookmarkStart w:id="564" w:name="_Toc1299"/>
      <w:bookmarkStart w:id="565" w:name="_Toc3826"/>
      <w:bookmarkStart w:id="566" w:name="_Toc20683"/>
      <w:bookmarkStart w:id="567" w:name="_Toc102227321"/>
      <w:bookmarkStart w:id="568" w:name="_Toc65512160"/>
      <w:bookmarkStart w:id="569" w:name="_Toc2040"/>
      <w:bookmarkStart w:id="570" w:name="_Toc5692"/>
      <w:bookmarkStart w:id="571" w:name="_Toc3121"/>
      <w:bookmarkStart w:id="572" w:name="_Toc8011"/>
      <w:bookmarkStart w:id="573" w:name="_Toc31319"/>
      <w:bookmarkStart w:id="574" w:name="_Toc1926"/>
      <w:bookmarkStart w:id="575" w:name="_Toc342913395"/>
      <w:bookmarkStart w:id="576" w:name="_Toc48837325"/>
      <w:bookmarkStart w:id="577" w:name="_Toc23363"/>
      <w:bookmarkStart w:id="578" w:name="_Toc9630"/>
      <w:bookmarkStart w:id="579" w:name="_Toc20781"/>
      <w:bookmarkStart w:id="580" w:name="_Toc28017"/>
      <w:bookmarkStart w:id="581" w:name="_Toc466546929"/>
      <w:bookmarkStart w:id="582" w:name="_Toc15745"/>
      <w:r>
        <w:rPr>
          <w:rFonts w:hint="eastAsia" w:ascii="方正仿宋_GBK" w:hAnsi="仿宋" w:eastAsia="仿宋" w:cs="仿宋"/>
          <w:color w:val="auto"/>
          <w:kern w:val="0"/>
          <w:szCs w:val="28"/>
          <w:highlight w:val="none"/>
        </w:rPr>
        <w:t>（一）成交供应商确定后，采购</w:t>
      </w:r>
      <w:r>
        <w:rPr>
          <w:rFonts w:hint="eastAsia" w:ascii="方正仿宋_GBK" w:hAnsi="仿宋" w:eastAsia="仿宋" w:cs="仿宋"/>
          <w:color w:val="auto"/>
          <w:kern w:val="0"/>
          <w:szCs w:val="28"/>
          <w:highlight w:val="none"/>
          <w:lang w:eastAsia="zh-CN"/>
        </w:rPr>
        <w:t>人</w:t>
      </w:r>
      <w:r>
        <w:rPr>
          <w:rFonts w:hint="eastAsia" w:ascii="方正仿宋_GBK" w:hAnsi="仿宋" w:eastAsia="仿宋" w:cs="仿宋"/>
          <w:color w:val="auto"/>
          <w:kern w:val="0"/>
          <w:szCs w:val="28"/>
          <w:highlight w:val="none"/>
        </w:rPr>
        <w:t>将在重庆</w:t>
      </w:r>
      <w:r>
        <w:rPr>
          <w:rFonts w:hint="eastAsia" w:ascii="方正仿宋_GBK" w:hAnsi="仿宋" w:eastAsia="仿宋" w:cs="仿宋"/>
          <w:color w:val="auto"/>
          <w:kern w:val="0"/>
          <w:szCs w:val="28"/>
          <w:highlight w:val="none"/>
          <w:lang w:eastAsia="zh-CN"/>
        </w:rPr>
        <w:t>巴南区第二人民医院官网</w:t>
      </w:r>
      <w:r>
        <w:rPr>
          <w:rFonts w:hint="eastAsia" w:ascii="方正仿宋_GBK" w:hAnsi="仿宋" w:eastAsia="仿宋" w:cs="仿宋"/>
          <w:color w:val="auto"/>
          <w:kern w:val="0"/>
          <w:szCs w:val="28"/>
          <w:highlight w:val="none"/>
        </w:rPr>
        <w:t>上发布成交结果公告。</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（二）结果公告发出同时，采购</w:t>
      </w:r>
      <w:r>
        <w:rPr>
          <w:rFonts w:hint="eastAsia" w:ascii="方正仿宋_GBK" w:hAnsi="仿宋" w:eastAsia="仿宋" w:cs="仿宋"/>
          <w:color w:val="auto"/>
          <w:kern w:val="0"/>
          <w:szCs w:val="28"/>
          <w:highlight w:val="none"/>
          <w:lang w:eastAsia="zh-CN"/>
        </w:rPr>
        <w:t>人</w:t>
      </w:r>
      <w:r>
        <w:rPr>
          <w:rFonts w:hint="eastAsia" w:ascii="方正仿宋_GBK" w:hAnsi="仿宋" w:eastAsia="仿宋" w:cs="仿宋"/>
          <w:color w:val="auto"/>
          <w:kern w:val="0"/>
          <w:szCs w:val="28"/>
          <w:highlight w:val="none"/>
        </w:rPr>
        <w:t>将以书面形式发出《成交通知书》。《成交通知书》一经发出即发生法律效力。</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（三）《成交通知书》将作为签订合同的依据。</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Start w:id="583" w:name="_Toc22277"/>
      <w:bookmarkStart w:id="584" w:name="_Toc10976"/>
      <w:bookmarkStart w:id="585" w:name="_Toc2902"/>
      <w:bookmarkStart w:id="586" w:name="_Toc24231"/>
      <w:bookmarkStart w:id="587" w:name="_Toc6151"/>
      <w:bookmarkStart w:id="588" w:name="_Toc22988"/>
      <w:bookmarkStart w:id="589" w:name="_Toc21650"/>
      <w:bookmarkStart w:id="590" w:name="_Toc12983"/>
      <w:bookmarkStart w:id="591" w:name="_Toc30247"/>
      <w:bookmarkStart w:id="592" w:name="_Toc27598"/>
      <w:bookmarkStart w:id="593" w:name="_Toc25914"/>
      <w:bookmarkStart w:id="594" w:name="_Toc5467"/>
      <w:bookmarkStart w:id="595" w:name="_Toc27976"/>
      <w:bookmarkStart w:id="596" w:name="_Toc22985"/>
      <w:bookmarkStart w:id="597" w:name="_Toc5312"/>
      <w:bookmarkStart w:id="598" w:name="_Toc16883"/>
      <w:bookmarkStart w:id="599" w:name="_Toc1541"/>
      <w:bookmarkStart w:id="600" w:name="_Toc48837326"/>
      <w:bookmarkStart w:id="601" w:name="_Toc20298"/>
      <w:bookmarkStart w:id="602" w:name="_Toc32388"/>
      <w:bookmarkStart w:id="603" w:name="_Toc11606"/>
      <w:bookmarkStart w:id="604" w:name="_Toc20152"/>
      <w:bookmarkStart w:id="605" w:name="_Toc14430"/>
      <w:bookmarkStart w:id="606" w:name="_Toc11317"/>
      <w:bookmarkStart w:id="607" w:name="_Toc19735"/>
      <w:bookmarkStart w:id="608" w:name="_Toc65512161"/>
      <w:bookmarkStart w:id="609" w:name="_Toc6746"/>
      <w:bookmarkStart w:id="610" w:name="_Toc23002"/>
      <w:bookmarkStart w:id="611" w:name="_Toc13169"/>
      <w:bookmarkStart w:id="612" w:name="_Toc466546930"/>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rPr>
          <w:rFonts w:eastAsia="仿宋" w:cs="宋体"/>
          <w:b/>
          <w:bCs/>
          <w:color w:val="auto"/>
          <w:szCs w:val="28"/>
          <w:highlight w:val="none"/>
        </w:rPr>
      </w:pPr>
      <w:r>
        <w:rPr>
          <w:rFonts w:hint="eastAsia" w:eastAsia="仿宋" w:cs="宋体"/>
          <w:b/>
          <w:bCs/>
          <w:color w:val="auto"/>
          <w:szCs w:val="28"/>
          <w:highlight w:val="none"/>
          <w:lang w:eastAsia="zh-CN"/>
        </w:rPr>
        <w:t>五</w:t>
      </w:r>
      <w:r>
        <w:rPr>
          <w:rFonts w:hint="eastAsia" w:eastAsia="仿宋" w:cs="宋体"/>
          <w:b/>
          <w:bCs/>
          <w:color w:val="auto"/>
          <w:szCs w:val="28"/>
          <w:highlight w:val="none"/>
        </w:rPr>
        <w:t>、</w:t>
      </w:r>
      <w:bookmarkStart w:id="613" w:name="_Hlk84942436"/>
      <w:r>
        <w:rPr>
          <w:rFonts w:hint="eastAsia" w:eastAsia="仿宋" w:cs="宋体"/>
          <w:b/>
          <w:bCs/>
          <w:color w:val="auto"/>
          <w:szCs w:val="28"/>
          <w:highlight w:val="none"/>
        </w:rPr>
        <w:t>成交供应商</w:t>
      </w:r>
      <w:r>
        <w:rPr>
          <w:rFonts w:hint="eastAsia" w:eastAsia="仿宋" w:cs="宋体"/>
          <w:b/>
          <w:bCs/>
          <w:color w:val="auto"/>
          <w:szCs w:val="28"/>
          <w:highlight w:val="none"/>
          <w:lang w:eastAsia="zh-CN"/>
        </w:rPr>
        <w:t>的确认和</w:t>
      </w:r>
      <w:r>
        <w:rPr>
          <w:rFonts w:hint="eastAsia" w:eastAsia="仿宋" w:cs="宋体"/>
          <w:b/>
          <w:bCs/>
          <w:color w:val="auto"/>
          <w:szCs w:val="28"/>
          <w:highlight w:val="none"/>
        </w:rPr>
        <w:t>变更</w:t>
      </w:r>
      <w:bookmarkEnd w:id="583"/>
      <w:bookmarkEnd w:id="584"/>
      <w:bookmarkEnd w:id="585"/>
      <w:bookmarkEnd w:id="586"/>
      <w:bookmarkEnd w:id="613"/>
    </w:p>
    <w:p>
      <w:pPr>
        <w:spacing w:line="520" w:lineRule="exact"/>
        <w:ind w:firstLine="480" w:firstLineChars="200"/>
        <w:jc w:val="left"/>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（一）成交供应商的确认</w:t>
      </w:r>
    </w:p>
    <w:p>
      <w:pPr>
        <w:spacing w:line="520" w:lineRule="exact"/>
        <w:ind w:firstLine="480" w:firstLineChars="200"/>
        <w:jc w:val="left"/>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采购人根据</w:t>
      </w:r>
      <w:r>
        <w:rPr>
          <w:rFonts w:hint="eastAsia" w:cs="Times New Roman"/>
          <w:kern w:val="0"/>
          <w:szCs w:val="28"/>
          <w:highlight w:val="none"/>
          <w:lang w:eastAsia="zh-CN"/>
        </w:rPr>
        <w:t>遴选</w:t>
      </w:r>
      <w:r>
        <w:rPr>
          <w:rFonts w:hint="default" w:ascii="Times New Roman" w:hAnsi="Times New Roman" w:eastAsia="方正仿宋_GBK" w:cs="Times New Roman"/>
          <w:kern w:val="0"/>
          <w:szCs w:val="28"/>
          <w:highlight w:val="none"/>
        </w:rPr>
        <w:t>评分结果现场确定成交供应商，并在2个工作日内公示成交结果。</w:t>
      </w:r>
    </w:p>
    <w:p>
      <w:pPr>
        <w:spacing w:line="520" w:lineRule="exact"/>
        <w:ind w:firstLine="480" w:firstLineChars="200"/>
        <w:jc w:val="left"/>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（二）成交供应商的变更</w:t>
      </w:r>
    </w:p>
    <w:p>
      <w:pPr>
        <w:spacing w:line="520" w:lineRule="exact"/>
        <w:ind w:firstLine="480" w:firstLineChars="200"/>
        <w:jc w:val="left"/>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1、若成交供应商因不可抗力或者自身原因不能履行合同的，采购人可以确定排名其后一位的成交候选人为成交供应商</w:t>
      </w:r>
    </w:p>
    <w:p>
      <w:pPr>
        <w:spacing w:line="520" w:lineRule="exact"/>
        <w:ind w:firstLine="480" w:firstLineChars="200"/>
        <w:jc w:val="left"/>
        <w:rPr>
          <w:rFonts w:ascii="方正仿宋_GBK" w:hAnsi="仿宋" w:eastAsia="仿宋" w:cs="仿宋"/>
          <w:color w:val="auto"/>
          <w:kern w:val="0"/>
          <w:szCs w:val="28"/>
          <w:highlight w:val="none"/>
        </w:rPr>
      </w:pPr>
      <w:r>
        <w:rPr>
          <w:rFonts w:hint="default" w:ascii="Times New Roman" w:hAnsi="Times New Roman" w:eastAsia="方正仿宋_GBK" w:cs="Times New Roman"/>
          <w:kern w:val="0"/>
          <w:szCs w:val="28"/>
          <w:highlight w:val="none"/>
        </w:rPr>
        <w:t>2、成交供应商无充分理由放弃成交的，按其他相关规定进行处理。</w:t>
      </w:r>
    </w:p>
    <w:p>
      <w:pPr>
        <w:spacing w:before="156" w:after="156" w:line="520" w:lineRule="exact"/>
        <w:ind w:firstLine="482" w:firstLineChars="200"/>
        <w:jc w:val="left"/>
        <w:outlineLvl w:val="1"/>
        <w:rPr>
          <w:rFonts w:eastAsia="仿宋" w:cs="宋体"/>
          <w:b/>
          <w:bCs/>
          <w:color w:val="auto"/>
          <w:szCs w:val="28"/>
          <w:highlight w:val="none"/>
        </w:rPr>
      </w:pPr>
      <w:bookmarkStart w:id="614" w:name="_Toc8609"/>
      <w:bookmarkStart w:id="615" w:name="_Toc30417"/>
      <w:bookmarkStart w:id="616" w:name="_Toc2342"/>
      <w:bookmarkStart w:id="617" w:name="_Toc8704"/>
      <w:r>
        <w:rPr>
          <w:rFonts w:hint="eastAsia" w:eastAsia="仿宋" w:cs="宋体"/>
          <w:b/>
          <w:bCs/>
          <w:color w:val="auto"/>
          <w:szCs w:val="28"/>
          <w:highlight w:val="none"/>
          <w:lang w:eastAsia="zh-CN"/>
        </w:rPr>
        <w:t>六</w:t>
      </w:r>
      <w:r>
        <w:rPr>
          <w:rFonts w:hint="eastAsia" w:eastAsia="仿宋" w:cs="宋体"/>
          <w:b/>
          <w:bCs/>
          <w:color w:val="auto"/>
          <w:szCs w:val="28"/>
          <w:highlight w:val="none"/>
        </w:rPr>
        <w:t>、</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Fonts w:hint="eastAsia" w:eastAsia="仿宋" w:cs="宋体"/>
          <w:b/>
          <w:bCs/>
          <w:color w:val="auto"/>
          <w:szCs w:val="28"/>
          <w:highlight w:val="none"/>
        </w:rPr>
        <w:t>质疑和投诉</w:t>
      </w:r>
      <w:bookmarkEnd w:id="614"/>
      <w:bookmarkEnd w:id="615"/>
      <w:bookmarkEnd w:id="616"/>
      <w:bookmarkEnd w:id="617"/>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（一）质疑内容、时限</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1、供应商对成交结果有异议的，应当在结果公告期限届满之日起七个工作日内以书面形式向采购人提出质疑，并附相关证明材料。</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2、供应商对</w:t>
      </w:r>
      <w:r>
        <w:rPr>
          <w:rFonts w:hint="eastAsia" w:cs="Times New Roman"/>
          <w:kern w:val="0"/>
          <w:szCs w:val="28"/>
          <w:highlight w:val="none"/>
          <w:lang w:eastAsia="zh-CN"/>
        </w:rPr>
        <w:t>遴选</w:t>
      </w:r>
      <w:r>
        <w:rPr>
          <w:rFonts w:hint="default" w:ascii="Times New Roman" w:hAnsi="Times New Roman" w:eastAsia="方正仿宋_GBK" w:cs="Times New Roman"/>
          <w:kern w:val="0"/>
          <w:szCs w:val="28"/>
          <w:highlight w:val="none"/>
        </w:rPr>
        <w:t>文件中供应商特定资格条件、技术质量和商务要求、评审标准及评审细则有异议的，应主要向采购人提出质疑。</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（二）质疑答复</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采购人在收到供应商书面质疑后七个工作日内，对质疑内容作出答复。</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（三）不予受理或暂缓受理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1、质疑有下列情形之一的，不予受理：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1.1质疑供应商参与了</w:t>
      </w:r>
      <w:r>
        <w:rPr>
          <w:rFonts w:hint="eastAsia" w:cs="Times New Roman"/>
          <w:kern w:val="0"/>
          <w:szCs w:val="28"/>
          <w:highlight w:val="none"/>
          <w:lang w:eastAsia="zh-CN"/>
        </w:rPr>
        <w:t>遴选</w:t>
      </w:r>
      <w:r>
        <w:rPr>
          <w:rFonts w:hint="default" w:ascii="Times New Roman" w:hAnsi="Times New Roman" w:eastAsia="方正仿宋_GBK" w:cs="Times New Roman"/>
          <w:kern w:val="0"/>
          <w:szCs w:val="28"/>
          <w:highlight w:val="none"/>
        </w:rPr>
        <w:t>活动后，再对</w:t>
      </w:r>
      <w:r>
        <w:rPr>
          <w:rFonts w:hint="eastAsia" w:cs="Times New Roman"/>
          <w:kern w:val="0"/>
          <w:szCs w:val="28"/>
          <w:highlight w:val="none"/>
          <w:lang w:eastAsia="zh-CN"/>
        </w:rPr>
        <w:t>遴选</w:t>
      </w:r>
      <w:r>
        <w:rPr>
          <w:rFonts w:hint="default" w:ascii="Times New Roman" w:hAnsi="Times New Roman" w:eastAsia="方正仿宋_GBK" w:cs="Times New Roman"/>
          <w:kern w:val="0"/>
          <w:szCs w:val="28"/>
          <w:highlight w:val="none"/>
        </w:rPr>
        <w:t>文件内容提出质疑的；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1.2质疑超过有效期的；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1.3对同一事项重复质疑的。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2、质疑有下列情形之一的，应暂不受理并告知供应商补充材料。供应商及时补充材料的，应予受理；逾期未补充的，不予受理：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2.1质疑书格式和内容不符合国家或重庆市相关规定的；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2.2质疑书提供的依据或证明材料不全的；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2.3质疑书副本数量不足的。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（四）投诉</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ascii="方正仿宋_GBK" w:hAnsi="仿宋" w:eastAsia="仿宋" w:cs="仿宋"/>
          <w:color w:val="auto"/>
          <w:kern w:val="0"/>
          <w:szCs w:val="28"/>
          <w:highlight w:val="none"/>
        </w:rPr>
      </w:pPr>
      <w:r>
        <w:rPr>
          <w:rFonts w:hint="default" w:ascii="Times New Roman" w:hAnsi="Times New Roman" w:eastAsia="方正仿宋_GBK" w:cs="Times New Roman"/>
          <w:kern w:val="0"/>
          <w:szCs w:val="28"/>
          <w:highlight w:val="none"/>
        </w:rPr>
        <w:t>供应商对采购办的答复不满意，或者采购办未在规定时间内答复的，可在答复期满后十五个工作日内按有关规定，向有关监管部门投诉。</w:t>
      </w:r>
    </w:p>
    <w:p>
      <w:pPr>
        <w:spacing w:before="156" w:after="156" w:line="520" w:lineRule="exact"/>
        <w:ind w:firstLine="482" w:firstLineChars="200"/>
        <w:jc w:val="left"/>
        <w:outlineLvl w:val="1"/>
        <w:rPr>
          <w:rFonts w:eastAsia="仿宋" w:cs="宋体"/>
          <w:b/>
          <w:bCs/>
          <w:color w:val="auto"/>
          <w:szCs w:val="28"/>
          <w:highlight w:val="none"/>
        </w:rPr>
      </w:pPr>
      <w:bookmarkStart w:id="618" w:name="_Toc102227322"/>
      <w:bookmarkStart w:id="619" w:name="_Toc8030"/>
      <w:bookmarkStart w:id="620" w:name="_Toc29969"/>
      <w:bookmarkStart w:id="621" w:name="_Toc23596"/>
      <w:bookmarkStart w:id="622" w:name="_Toc28166"/>
      <w:bookmarkStart w:id="623" w:name="_Toc10380"/>
      <w:bookmarkStart w:id="624" w:name="_Toc466546933"/>
      <w:bookmarkStart w:id="625" w:name="_Toc25013"/>
      <w:bookmarkStart w:id="626" w:name="_Toc3190"/>
      <w:bookmarkStart w:id="627" w:name="_Toc1366"/>
      <w:bookmarkStart w:id="628" w:name="_Toc24988"/>
      <w:bookmarkStart w:id="629" w:name="_Toc26233"/>
      <w:bookmarkStart w:id="630" w:name="_Toc13271"/>
      <w:bookmarkStart w:id="631" w:name="_Toc4110"/>
      <w:bookmarkStart w:id="632" w:name="_Toc30962"/>
      <w:bookmarkStart w:id="633" w:name="_Toc1858"/>
      <w:bookmarkStart w:id="634" w:name="_Toc15949"/>
      <w:bookmarkStart w:id="635" w:name="_Toc342913396"/>
      <w:bookmarkStart w:id="636" w:name="_Toc22688"/>
      <w:bookmarkStart w:id="637" w:name="_Toc11926"/>
      <w:bookmarkStart w:id="638" w:name="_Toc30709"/>
      <w:bookmarkStart w:id="639" w:name="_Toc9101"/>
      <w:bookmarkStart w:id="640" w:name="_Toc65512162"/>
      <w:bookmarkStart w:id="641" w:name="_Toc9871"/>
      <w:bookmarkStart w:id="642" w:name="_Toc12792"/>
      <w:bookmarkStart w:id="643" w:name="_Toc6511"/>
      <w:bookmarkStart w:id="644" w:name="_Toc26939"/>
      <w:bookmarkStart w:id="645" w:name="_Toc25749"/>
      <w:bookmarkStart w:id="646" w:name="_Toc10058"/>
      <w:bookmarkStart w:id="647" w:name="_Toc2535"/>
      <w:bookmarkStart w:id="648" w:name="_Toc48837327"/>
      <w:bookmarkStart w:id="649" w:name="_Toc30977"/>
      <w:bookmarkStart w:id="650" w:name="_Toc22387"/>
      <w:r>
        <w:rPr>
          <w:rFonts w:hint="eastAsia" w:eastAsia="仿宋" w:cs="宋体"/>
          <w:b/>
          <w:bCs/>
          <w:color w:val="auto"/>
          <w:szCs w:val="28"/>
          <w:highlight w:val="none"/>
          <w:lang w:eastAsia="zh-CN"/>
        </w:rPr>
        <w:t>七</w:t>
      </w:r>
      <w:r>
        <w:rPr>
          <w:rFonts w:hint="eastAsia" w:eastAsia="仿宋" w:cs="宋体"/>
          <w:b/>
          <w:bCs/>
          <w:color w:val="auto"/>
          <w:szCs w:val="28"/>
          <w:highlight w:val="none"/>
        </w:rPr>
        <w:t>、签订</w:t>
      </w:r>
      <w:bookmarkEnd w:id="618"/>
      <w:r>
        <w:rPr>
          <w:rFonts w:hint="eastAsia" w:eastAsia="仿宋" w:cs="宋体"/>
          <w:b/>
          <w:bCs/>
          <w:color w:val="auto"/>
          <w:szCs w:val="28"/>
          <w:highlight w:val="none"/>
        </w:rPr>
        <w:t>合同</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（一）采购人应当自成交通知书发出之日起三十日内，与成交供应商签订书面合同。所签订的合同不得对</w:t>
      </w:r>
      <w:r>
        <w:rPr>
          <w:rFonts w:hint="eastAsia" w:cs="Times New Roman"/>
          <w:kern w:val="0"/>
          <w:szCs w:val="28"/>
          <w:highlight w:val="none"/>
          <w:lang w:eastAsia="zh-CN"/>
        </w:rPr>
        <w:t>遴选</w:t>
      </w:r>
      <w:r>
        <w:rPr>
          <w:rFonts w:hint="default" w:ascii="Times New Roman" w:hAnsi="Times New Roman" w:eastAsia="方正仿宋_GBK" w:cs="Times New Roman"/>
          <w:kern w:val="0"/>
          <w:szCs w:val="28"/>
          <w:highlight w:val="none"/>
        </w:rPr>
        <w:t>文件和成交供应商响应文件作实质性修改。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成交供应商逾期或拒绝或不按成交状态签订合同的，按有关规定进行严肃处理。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（二）</w:t>
      </w:r>
      <w:r>
        <w:rPr>
          <w:rFonts w:hint="eastAsia" w:cs="Times New Roman"/>
          <w:kern w:val="0"/>
          <w:szCs w:val="28"/>
          <w:highlight w:val="none"/>
          <w:lang w:eastAsia="zh-CN"/>
        </w:rPr>
        <w:t>遴选</w:t>
      </w:r>
      <w:r>
        <w:rPr>
          <w:rFonts w:hint="default" w:ascii="Times New Roman" w:hAnsi="Times New Roman" w:eastAsia="方正仿宋_GBK" w:cs="Times New Roman"/>
          <w:kern w:val="0"/>
          <w:szCs w:val="28"/>
          <w:highlight w:val="none"/>
        </w:rPr>
        <w:t>文件、供应商的响应文件及澄清文件等，均为签订采购合同的依据。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 xml:space="preserve">（三）合同生效条款由供需双方约定，法律、行政法规规定应当办理批准、登记等手续后生效的合同，依照其规定。 </w:t>
      </w:r>
    </w:p>
    <w:p>
      <w:pPr>
        <w:pStyle w:val="13"/>
        <w:numPr>
          <w:ilvl w:val="0"/>
          <w:numId w:val="0"/>
        </w:numPr>
        <w:spacing w:beforeLines="50" w:afterLines="50"/>
        <w:ind w:leftChars="0"/>
        <w:jc w:val="center"/>
        <w:outlineLvl w:val="0"/>
        <w:rPr>
          <w:rFonts w:eastAsia="方正小标宋简体"/>
          <w:color w:val="auto"/>
          <w:sz w:val="44"/>
          <w:szCs w:val="22"/>
          <w:highlight w:val="none"/>
        </w:rPr>
      </w:pPr>
      <w:bookmarkStart w:id="651" w:name="_Toc32194"/>
      <w:bookmarkStart w:id="652" w:name="_Toc349562392"/>
      <w:bookmarkStart w:id="653" w:name="_Toc384905081"/>
      <w:bookmarkStart w:id="654" w:name="_Toc384905319"/>
      <w:bookmarkStart w:id="655" w:name="_Toc409189639"/>
      <w:bookmarkStart w:id="656" w:name="_Toc384905082"/>
      <w:r>
        <w:rPr>
          <w:rFonts w:hint="eastAsia"/>
          <w:color w:val="auto"/>
          <w:highlight w:val="none"/>
        </w:rPr>
        <w:br w:type="page"/>
      </w:r>
      <w:bookmarkEnd w:id="651"/>
      <w:bookmarkEnd w:id="652"/>
      <w:bookmarkEnd w:id="653"/>
      <w:bookmarkEnd w:id="654"/>
      <w:bookmarkEnd w:id="655"/>
      <w:bookmarkEnd w:id="656"/>
      <w:bookmarkStart w:id="657" w:name="_Toc11222"/>
      <w:bookmarkStart w:id="658" w:name="_Toc48837332"/>
      <w:bookmarkStart w:id="659" w:name="_Toc31518"/>
      <w:bookmarkStart w:id="660" w:name="_Toc10604"/>
      <w:bookmarkStart w:id="661" w:name="_Toc15701"/>
      <w:bookmarkStart w:id="662" w:name="_Toc1222"/>
      <w:bookmarkStart w:id="663" w:name="_Toc16475"/>
      <w:bookmarkStart w:id="664" w:name="_Toc62"/>
      <w:bookmarkStart w:id="665" w:name="_Toc27745"/>
      <w:bookmarkStart w:id="666" w:name="_Toc1397"/>
      <w:bookmarkStart w:id="667" w:name="_Toc2784"/>
      <w:bookmarkStart w:id="668" w:name="_Toc18341"/>
      <w:bookmarkStart w:id="669" w:name="_Toc6389"/>
      <w:bookmarkStart w:id="670" w:name="_Toc1418"/>
      <w:bookmarkStart w:id="671" w:name="_Toc14671"/>
      <w:bookmarkStart w:id="672" w:name="_Toc22502"/>
      <w:bookmarkStart w:id="673" w:name="_Toc14959"/>
      <w:bookmarkStart w:id="674" w:name="_Toc21704"/>
      <w:bookmarkStart w:id="675" w:name="_Toc29176"/>
      <w:bookmarkStart w:id="676" w:name="_Toc12406"/>
      <w:bookmarkStart w:id="677" w:name="_Toc10685"/>
      <w:bookmarkStart w:id="678" w:name="_Toc7981"/>
      <w:bookmarkStart w:id="679" w:name="_Toc24340"/>
      <w:bookmarkStart w:id="680" w:name="_Toc11597"/>
      <w:bookmarkStart w:id="681" w:name="_Toc3297"/>
      <w:bookmarkStart w:id="682" w:name="_Toc9038"/>
      <w:bookmarkStart w:id="683" w:name="_Toc26489"/>
      <w:r>
        <w:rPr>
          <w:rFonts w:hint="eastAsia" w:eastAsia="方正小标宋简体" w:cs="Times New Roman"/>
          <w:color w:val="auto"/>
          <w:sz w:val="44"/>
          <w:szCs w:val="22"/>
          <w:highlight w:val="none"/>
          <w:lang w:eastAsia="zh-CN"/>
        </w:rPr>
        <w:t>第六篇</w:t>
      </w:r>
      <w:r>
        <w:rPr>
          <w:rFonts w:hint="eastAsia" w:eastAsia="方正小标宋简体" w:cs="Times New Roman"/>
          <w:color w:val="auto"/>
          <w:sz w:val="44"/>
          <w:szCs w:val="22"/>
          <w:highlight w:val="none"/>
          <w:lang w:val="en-US" w:eastAsia="zh-CN"/>
        </w:rPr>
        <w:t xml:space="preserve">  </w:t>
      </w:r>
      <w:r>
        <w:rPr>
          <w:rFonts w:hint="eastAsia" w:eastAsia="方正小标宋简体"/>
          <w:color w:val="auto"/>
          <w:sz w:val="44"/>
          <w:szCs w:val="22"/>
          <w:highlight w:val="none"/>
        </w:rPr>
        <w:t>响应文件编制要求</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spacing w:line="520" w:lineRule="exact"/>
        <w:jc w:val="center"/>
        <w:rPr>
          <w:rFonts w:ascii="方正仿宋_GBK" w:hAnsi="仿宋" w:eastAsia="仿宋" w:cs="仿宋"/>
          <w:color w:val="auto"/>
          <w:kern w:val="0"/>
          <w:szCs w:val="28"/>
          <w:highlight w:val="none"/>
        </w:rPr>
      </w:pPr>
      <w:bookmarkStart w:id="684" w:name="_Toc6266"/>
      <w:r>
        <w:rPr>
          <w:rFonts w:hint="eastAsia" w:ascii="方正仿宋_GBK" w:hAnsi="仿宋" w:eastAsia="仿宋" w:cs="仿宋"/>
          <w:color w:val="auto"/>
          <w:kern w:val="0"/>
          <w:szCs w:val="28"/>
          <w:highlight w:val="none"/>
        </w:rPr>
        <w:t>（请按本篇要求提供，但不限于以下格式内容）</w:t>
      </w:r>
      <w:bookmarkEnd w:id="684"/>
    </w:p>
    <w:p>
      <w:pPr>
        <w:spacing w:line="520" w:lineRule="exact"/>
        <w:ind w:firstLine="482" w:firstLineChars="200"/>
        <w:jc w:val="left"/>
        <w:rPr>
          <w:rFonts w:ascii="方正仿宋_GBK" w:hAnsi="仿宋" w:eastAsia="仿宋" w:cs="仿宋"/>
          <w:b/>
          <w:bCs/>
          <w:color w:val="auto"/>
          <w:kern w:val="0"/>
          <w:szCs w:val="28"/>
          <w:highlight w:val="none"/>
        </w:rPr>
      </w:pPr>
      <w:bookmarkStart w:id="685" w:name="_Toc14604"/>
      <w:bookmarkStart w:id="686" w:name="_Toc11294"/>
      <w:bookmarkStart w:id="687" w:name="_Toc20237"/>
      <w:bookmarkStart w:id="688" w:name="_Toc13389"/>
      <w:bookmarkStart w:id="689" w:name="_Toc8257"/>
      <w:bookmarkStart w:id="690" w:name="_Toc32499"/>
      <w:bookmarkStart w:id="691" w:name="_Toc25050"/>
      <w:bookmarkStart w:id="692" w:name="_Toc25677"/>
      <w:bookmarkStart w:id="693" w:name="_Toc27020"/>
      <w:bookmarkStart w:id="694" w:name="_Toc27313"/>
      <w:bookmarkStart w:id="695" w:name="_Toc77"/>
      <w:bookmarkStart w:id="696" w:name="_Toc30136"/>
      <w:r>
        <w:rPr>
          <w:rFonts w:hint="eastAsia" w:ascii="方正仿宋_GBK" w:hAnsi="仿宋" w:eastAsia="仿宋" w:cs="仿宋"/>
          <w:b/>
          <w:bCs/>
          <w:color w:val="auto"/>
          <w:kern w:val="0"/>
          <w:szCs w:val="28"/>
          <w:highlight w:val="none"/>
        </w:rPr>
        <w:t>一、经济部分</w:t>
      </w:r>
      <w:bookmarkEnd w:id="685"/>
      <w:bookmarkEnd w:id="686"/>
      <w:bookmarkEnd w:id="687"/>
      <w:bookmarkEnd w:id="688"/>
      <w:bookmarkEnd w:id="689"/>
      <w:bookmarkEnd w:id="690"/>
      <w:bookmarkEnd w:id="691"/>
      <w:bookmarkEnd w:id="692"/>
      <w:bookmarkEnd w:id="693"/>
      <w:bookmarkEnd w:id="694"/>
      <w:bookmarkEnd w:id="695"/>
      <w:bookmarkEnd w:id="696"/>
    </w:p>
    <w:p>
      <w:pPr>
        <w:spacing w:line="520" w:lineRule="exact"/>
        <w:ind w:firstLine="480"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（一）</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报价函</w:t>
      </w:r>
    </w:p>
    <w:p>
      <w:pPr>
        <w:spacing w:line="400" w:lineRule="exact"/>
        <w:ind w:firstLine="480" w:firstLineChars="200"/>
        <w:rPr>
          <w:highlight w:val="none"/>
        </w:rPr>
      </w:pPr>
      <w:r>
        <w:rPr>
          <w:rFonts w:ascii="Times New Roman" w:hAnsi="Times New Roman" w:eastAsia="方正仿宋_GBK"/>
          <w:color w:val="000000"/>
          <w:szCs w:val="24"/>
          <w:highlight w:val="none"/>
        </w:rPr>
        <w:t>（二）2024年度</w:t>
      </w:r>
      <w:r>
        <w:rPr>
          <w:rFonts w:hint="eastAsia" w:ascii="Times New Roman" w:hAnsi="Times New Roman" w:eastAsia="方正仿宋_GBK"/>
          <w:color w:val="000000"/>
          <w:szCs w:val="24"/>
          <w:highlight w:val="none"/>
          <w:lang w:eastAsia="zh-CN"/>
        </w:rPr>
        <w:t>肠内营养制剂</w:t>
      </w:r>
      <w:r>
        <w:rPr>
          <w:rFonts w:ascii="Times New Roman" w:hAnsi="Times New Roman" w:eastAsia="方正仿宋_GBK"/>
          <w:color w:val="000000"/>
          <w:szCs w:val="24"/>
          <w:highlight w:val="none"/>
        </w:rPr>
        <w:t>报价函</w:t>
      </w:r>
      <w:r>
        <w:rPr>
          <w:rFonts w:hint="eastAsia" w:ascii="Times New Roman" w:hAnsi="Times New Roman"/>
          <w:color w:val="000000"/>
          <w:szCs w:val="24"/>
          <w:highlight w:val="none"/>
          <w:lang w:eastAsia="zh-CN"/>
        </w:rPr>
        <w:t>（</w:t>
      </w:r>
      <w:r>
        <w:rPr>
          <w:rFonts w:hint="eastAsia" w:ascii="Times New Roman" w:hAnsi="Times New Roman"/>
          <w:color w:val="000000"/>
          <w:szCs w:val="24"/>
          <w:highlight w:val="none"/>
          <w:lang w:val="en-US" w:eastAsia="zh-CN"/>
        </w:rPr>
        <w:t>excel版本）</w:t>
      </w:r>
      <w:r>
        <w:rPr>
          <w:rFonts w:ascii="Times New Roman" w:hAnsi="Times New Roman" w:eastAsia="方正仿宋_GBK"/>
          <w:color w:val="000000"/>
          <w:szCs w:val="24"/>
          <w:highlight w:val="none"/>
        </w:rPr>
        <w:t>电子版的U盘</w:t>
      </w:r>
    </w:p>
    <w:p>
      <w:pPr>
        <w:spacing w:line="520" w:lineRule="exact"/>
        <w:ind w:firstLine="482" w:firstLineChars="200"/>
        <w:jc w:val="left"/>
        <w:rPr>
          <w:rFonts w:ascii="方正仿宋_GBK" w:hAnsi="仿宋" w:eastAsia="仿宋" w:cs="仿宋"/>
          <w:b/>
          <w:bCs/>
          <w:color w:val="auto"/>
          <w:kern w:val="0"/>
          <w:szCs w:val="28"/>
          <w:highlight w:val="none"/>
        </w:rPr>
      </w:pPr>
      <w:bookmarkStart w:id="697" w:name="_Toc969"/>
      <w:bookmarkStart w:id="698" w:name="_Toc2401"/>
      <w:bookmarkStart w:id="699" w:name="_Toc20288"/>
      <w:bookmarkStart w:id="700" w:name="_Toc8433"/>
      <w:bookmarkStart w:id="701" w:name="_Toc31702"/>
      <w:bookmarkStart w:id="702" w:name="_Toc18828"/>
      <w:bookmarkStart w:id="703" w:name="_Toc23423"/>
      <w:bookmarkStart w:id="704" w:name="_Toc22325"/>
      <w:bookmarkStart w:id="705" w:name="_Toc6158"/>
      <w:bookmarkStart w:id="706" w:name="_Toc19046"/>
      <w:bookmarkStart w:id="707" w:name="_Toc20689"/>
      <w:bookmarkStart w:id="708" w:name="_Toc24945"/>
      <w:r>
        <w:rPr>
          <w:rFonts w:hint="eastAsia" w:ascii="方正仿宋_GBK" w:hAnsi="仿宋" w:eastAsia="仿宋" w:cs="仿宋"/>
          <w:b/>
          <w:bCs/>
          <w:color w:val="auto"/>
          <w:kern w:val="0"/>
          <w:szCs w:val="28"/>
          <w:highlight w:val="none"/>
        </w:rPr>
        <w:t>二、</w:t>
      </w:r>
      <w:r>
        <w:rPr>
          <w:rFonts w:hint="eastAsia" w:ascii="方正仿宋_GBK" w:hAnsi="仿宋" w:eastAsia="仿宋" w:cs="仿宋"/>
          <w:b/>
          <w:bCs/>
          <w:color w:val="auto"/>
          <w:kern w:val="0"/>
          <w:szCs w:val="28"/>
          <w:highlight w:val="none"/>
          <w:lang w:eastAsia="zh-CN"/>
        </w:rPr>
        <w:t>技术</w:t>
      </w:r>
      <w:r>
        <w:rPr>
          <w:rFonts w:hint="eastAsia" w:ascii="方正仿宋_GBK" w:hAnsi="仿宋" w:eastAsia="仿宋" w:cs="仿宋"/>
          <w:b/>
          <w:bCs/>
          <w:color w:val="auto"/>
          <w:kern w:val="0"/>
          <w:szCs w:val="28"/>
          <w:highlight w:val="none"/>
        </w:rPr>
        <w:t>部分</w:t>
      </w:r>
      <w:bookmarkEnd w:id="697"/>
      <w:bookmarkEnd w:id="698"/>
      <w:bookmarkEnd w:id="699"/>
      <w:bookmarkEnd w:id="700"/>
      <w:bookmarkEnd w:id="701"/>
      <w:bookmarkEnd w:id="702"/>
      <w:bookmarkEnd w:id="703"/>
      <w:bookmarkEnd w:id="704"/>
      <w:bookmarkEnd w:id="705"/>
      <w:bookmarkEnd w:id="706"/>
      <w:bookmarkEnd w:id="707"/>
      <w:bookmarkEnd w:id="708"/>
    </w:p>
    <w:p>
      <w:pPr>
        <w:spacing w:line="520" w:lineRule="exact"/>
        <w:ind w:firstLine="480" w:firstLineChars="200"/>
        <w:jc w:val="left"/>
        <w:rPr>
          <w:rFonts w:ascii="方正仿宋_GBK" w:hAnsi="仿宋" w:eastAsia="仿宋" w:cs="仿宋"/>
          <w:color w:val="auto"/>
          <w:kern w:val="0"/>
          <w:szCs w:val="28"/>
          <w:highlight w:val="none"/>
        </w:rPr>
      </w:pPr>
      <w:bookmarkStart w:id="709" w:name="_Toc1765"/>
      <w:bookmarkStart w:id="710" w:name="_Toc30337"/>
      <w:bookmarkStart w:id="711" w:name="_Toc14173"/>
      <w:bookmarkStart w:id="712" w:name="_Toc25754"/>
      <w:bookmarkStart w:id="713" w:name="_Toc29524"/>
      <w:bookmarkStart w:id="714" w:name="_Toc13997"/>
      <w:bookmarkStart w:id="715" w:name="_Toc30039"/>
      <w:bookmarkStart w:id="716" w:name="_Toc21499"/>
      <w:bookmarkStart w:id="717" w:name="_Toc28516"/>
      <w:bookmarkStart w:id="718" w:name="_Toc16158"/>
      <w:bookmarkStart w:id="719" w:name="_Toc15365"/>
      <w:bookmarkStart w:id="720" w:name="_Toc20631"/>
      <w:r>
        <w:rPr>
          <w:rFonts w:hint="eastAsia" w:ascii="方正仿宋_GBK" w:hAnsi="仿宋" w:eastAsia="仿宋" w:cs="仿宋"/>
          <w:color w:val="auto"/>
          <w:kern w:val="0"/>
          <w:szCs w:val="28"/>
          <w:highlight w:val="none"/>
        </w:rPr>
        <w:t>（一）</w:t>
      </w:r>
      <w:r>
        <w:rPr>
          <w:rFonts w:hint="eastAsia" w:ascii="方正仿宋_GBK" w:hAnsi="仿宋" w:eastAsia="仿宋" w:cs="仿宋"/>
          <w:color w:val="auto"/>
          <w:kern w:val="0"/>
          <w:szCs w:val="28"/>
          <w:highlight w:val="none"/>
          <w:lang w:eastAsia="zh-CN"/>
        </w:rPr>
        <w:t>技术</w:t>
      </w:r>
      <w:r>
        <w:rPr>
          <w:rFonts w:hint="eastAsia" w:ascii="方正仿宋_GBK" w:hAnsi="仿宋" w:eastAsia="仿宋" w:cs="仿宋"/>
          <w:color w:val="auto"/>
          <w:kern w:val="0"/>
          <w:szCs w:val="28"/>
          <w:highlight w:val="none"/>
        </w:rPr>
        <w:t>响应差异表</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文件第二篇所需方案或证明材料（如果有）</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（三）</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文件第四篇评审标准“</w:t>
      </w:r>
      <w:r>
        <w:rPr>
          <w:rFonts w:hint="eastAsia" w:ascii="方正仿宋_GBK" w:hAnsi="仿宋" w:eastAsia="仿宋" w:cs="仿宋"/>
          <w:color w:val="auto"/>
          <w:kern w:val="0"/>
          <w:szCs w:val="28"/>
          <w:highlight w:val="none"/>
          <w:lang w:eastAsia="zh-CN"/>
        </w:rPr>
        <w:t>技术</w:t>
      </w:r>
      <w:r>
        <w:rPr>
          <w:rFonts w:hint="eastAsia" w:ascii="方正仿宋_GBK" w:hAnsi="仿宋" w:eastAsia="仿宋" w:cs="仿宋"/>
          <w:color w:val="auto"/>
          <w:kern w:val="0"/>
          <w:szCs w:val="28"/>
          <w:highlight w:val="none"/>
        </w:rPr>
        <w:t>部分”所要求的方案或证明材料</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（四）其他响应</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文件提供的服务文件</w:t>
      </w:r>
    </w:p>
    <w:p>
      <w:pPr>
        <w:spacing w:line="520" w:lineRule="exact"/>
        <w:ind w:firstLine="482" w:firstLineChars="200"/>
        <w:jc w:val="left"/>
        <w:rPr>
          <w:rFonts w:ascii="方正仿宋_GBK" w:hAnsi="仿宋" w:eastAsia="仿宋" w:cs="仿宋"/>
          <w:b/>
          <w:bCs/>
          <w:color w:val="auto"/>
          <w:kern w:val="0"/>
          <w:szCs w:val="28"/>
          <w:highlight w:val="none"/>
        </w:rPr>
      </w:pPr>
      <w:r>
        <w:rPr>
          <w:rFonts w:hint="eastAsia" w:ascii="方正仿宋_GBK" w:hAnsi="仿宋" w:eastAsia="仿宋" w:cs="仿宋"/>
          <w:b/>
          <w:bCs/>
          <w:color w:val="auto"/>
          <w:kern w:val="0"/>
          <w:szCs w:val="28"/>
          <w:highlight w:val="none"/>
        </w:rPr>
        <w:t>三、商务部分</w:t>
      </w:r>
      <w:bookmarkEnd w:id="709"/>
      <w:bookmarkEnd w:id="710"/>
      <w:bookmarkEnd w:id="711"/>
      <w:bookmarkEnd w:id="712"/>
      <w:bookmarkEnd w:id="713"/>
      <w:bookmarkEnd w:id="714"/>
      <w:bookmarkEnd w:id="715"/>
      <w:bookmarkEnd w:id="716"/>
      <w:bookmarkEnd w:id="717"/>
      <w:bookmarkEnd w:id="718"/>
      <w:bookmarkEnd w:id="719"/>
      <w:bookmarkEnd w:id="720"/>
    </w:p>
    <w:p>
      <w:pPr>
        <w:spacing w:line="520" w:lineRule="exact"/>
        <w:ind w:firstLine="480" w:firstLineChars="200"/>
        <w:jc w:val="left"/>
        <w:rPr>
          <w:rFonts w:ascii="方正仿宋_GBK" w:hAnsi="仿宋" w:eastAsia="仿宋" w:cs="仿宋"/>
          <w:color w:val="auto"/>
          <w:kern w:val="0"/>
          <w:szCs w:val="28"/>
          <w:highlight w:val="none"/>
        </w:rPr>
      </w:pPr>
      <w:bookmarkStart w:id="721" w:name="_Toc12483"/>
      <w:bookmarkStart w:id="722" w:name="_Toc26230"/>
      <w:bookmarkStart w:id="723" w:name="_Toc20217"/>
      <w:bookmarkStart w:id="724" w:name="_Toc30182"/>
      <w:bookmarkStart w:id="725" w:name="_Toc12818"/>
      <w:bookmarkStart w:id="726" w:name="_Toc2821"/>
      <w:bookmarkStart w:id="727" w:name="_Toc28208"/>
      <w:bookmarkStart w:id="728" w:name="_Toc29922"/>
      <w:bookmarkStart w:id="729" w:name="_Toc15693"/>
      <w:bookmarkStart w:id="730" w:name="_Toc17364"/>
      <w:bookmarkStart w:id="731" w:name="_Toc30328"/>
      <w:bookmarkStart w:id="732" w:name="_Toc29770"/>
      <w:r>
        <w:rPr>
          <w:rFonts w:hint="eastAsia" w:ascii="方正仿宋_GBK" w:hAnsi="仿宋" w:eastAsia="仿宋" w:cs="仿宋"/>
          <w:color w:val="auto"/>
          <w:kern w:val="0"/>
          <w:szCs w:val="28"/>
          <w:highlight w:val="none"/>
        </w:rPr>
        <w:t>（一）商务响应差异表</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文件第三篇所需证明材料（如果有）</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（三）</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文件第四篇评审标准“商务部分”所要求的证明材料</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（四）其他响应</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文件提供的商务文件</w:t>
      </w:r>
    </w:p>
    <w:bookmarkEnd w:id="721"/>
    <w:bookmarkEnd w:id="722"/>
    <w:bookmarkEnd w:id="723"/>
    <w:bookmarkEnd w:id="724"/>
    <w:bookmarkEnd w:id="725"/>
    <w:bookmarkEnd w:id="726"/>
    <w:bookmarkEnd w:id="727"/>
    <w:bookmarkEnd w:id="728"/>
    <w:bookmarkEnd w:id="729"/>
    <w:bookmarkEnd w:id="730"/>
    <w:bookmarkEnd w:id="731"/>
    <w:bookmarkEnd w:id="732"/>
    <w:p>
      <w:pPr>
        <w:spacing w:line="520" w:lineRule="exact"/>
        <w:ind w:firstLine="482" w:firstLineChars="200"/>
        <w:jc w:val="left"/>
        <w:rPr>
          <w:rFonts w:ascii="方正仿宋_GBK" w:hAnsi="仿宋" w:eastAsia="仿宋" w:cs="仿宋"/>
          <w:b/>
          <w:bCs/>
          <w:color w:val="auto"/>
          <w:kern w:val="0"/>
          <w:szCs w:val="28"/>
          <w:highlight w:val="none"/>
        </w:rPr>
      </w:pPr>
      <w:bookmarkStart w:id="733" w:name="_Toc13708"/>
      <w:bookmarkStart w:id="734" w:name="_Toc3091"/>
      <w:bookmarkStart w:id="735" w:name="_Toc17752"/>
      <w:bookmarkStart w:id="736" w:name="_Toc29479"/>
      <w:bookmarkStart w:id="737" w:name="_Toc12300"/>
      <w:bookmarkStart w:id="738" w:name="_Toc16187"/>
      <w:bookmarkStart w:id="739" w:name="_Toc28176"/>
      <w:bookmarkStart w:id="740" w:name="_Toc1848"/>
      <w:bookmarkStart w:id="741" w:name="_Toc16026"/>
      <w:bookmarkStart w:id="742" w:name="_Toc18716"/>
      <w:bookmarkStart w:id="743" w:name="_Toc27590"/>
      <w:bookmarkStart w:id="744" w:name="_Toc27529"/>
      <w:r>
        <w:rPr>
          <w:rFonts w:hint="eastAsia" w:ascii="方正仿宋_GBK" w:hAnsi="仿宋" w:eastAsia="仿宋" w:cs="仿宋"/>
          <w:b/>
          <w:bCs/>
          <w:color w:val="auto"/>
          <w:kern w:val="0"/>
          <w:szCs w:val="28"/>
          <w:highlight w:val="none"/>
          <w:lang w:eastAsia="zh-CN"/>
        </w:rPr>
        <w:t>四</w:t>
      </w:r>
      <w:r>
        <w:rPr>
          <w:rFonts w:hint="eastAsia" w:ascii="方正仿宋_GBK" w:hAnsi="仿宋" w:eastAsia="仿宋" w:cs="仿宋"/>
          <w:b/>
          <w:bCs/>
          <w:color w:val="auto"/>
          <w:kern w:val="0"/>
          <w:szCs w:val="28"/>
          <w:highlight w:val="none"/>
        </w:rPr>
        <w:t>、资格</w:t>
      </w:r>
      <w:bookmarkEnd w:id="733"/>
      <w:r>
        <w:rPr>
          <w:rFonts w:hint="eastAsia" w:ascii="方正仿宋_GBK" w:hAnsi="仿宋" w:eastAsia="仿宋" w:cs="仿宋"/>
          <w:b/>
          <w:bCs/>
          <w:color w:val="auto"/>
          <w:kern w:val="0"/>
          <w:szCs w:val="28"/>
          <w:highlight w:val="none"/>
        </w:rPr>
        <w:t>文件</w:t>
      </w:r>
      <w:bookmarkEnd w:id="734"/>
      <w:bookmarkEnd w:id="735"/>
      <w:bookmarkEnd w:id="736"/>
      <w:bookmarkEnd w:id="737"/>
      <w:bookmarkEnd w:id="738"/>
      <w:bookmarkEnd w:id="739"/>
      <w:bookmarkEnd w:id="740"/>
      <w:bookmarkEnd w:id="741"/>
      <w:bookmarkEnd w:id="742"/>
      <w:bookmarkEnd w:id="743"/>
      <w:bookmarkEnd w:id="744"/>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（一）法人营业执照（副本）或事业单位法人证书（副本）或个体工商户营业执照或有效的自然人身份证明或社会团体法人登记证书复印件</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（二）法定代表人身份证明书（格式）</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（三）法定代表人授权委托书（格式）</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（四）基本资格条件承诺函（格式）</w:t>
      </w:r>
    </w:p>
    <w:p>
      <w:pPr>
        <w:spacing w:line="520" w:lineRule="exact"/>
        <w:ind w:firstLine="480" w:firstLineChars="200"/>
        <w:jc w:val="left"/>
        <w:rPr>
          <w:rFonts w:hint="eastAsia" w:ascii="方正仿宋_GBK" w:hAnsi="仿宋" w:eastAsia="方正仿宋_GBK" w:cs="仿宋"/>
          <w:color w:val="auto"/>
          <w:kern w:val="0"/>
          <w:szCs w:val="28"/>
          <w:highlight w:val="none"/>
          <w:lang w:val="en-US" w:eastAsia="zh-CN"/>
        </w:rPr>
      </w:pPr>
      <w:r>
        <w:rPr>
          <w:rFonts w:hint="eastAsia" w:ascii="方正仿宋_GBK" w:hAnsi="仿宋" w:eastAsia="方正仿宋_GBK" w:cs="仿宋"/>
          <w:color w:val="auto"/>
          <w:kern w:val="0"/>
          <w:szCs w:val="28"/>
          <w:highlight w:val="none"/>
          <w:lang w:val="en-US" w:eastAsia="zh-CN"/>
        </w:rPr>
        <w:t>（</w:t>
      </w:r>
      <w:r>
        <w:rPr>
          <w:rFonts w:hint="eastAsia" w:ascii="方正仿宋_GBK" w:hAnsi="仿宋" w:cs="仿宋"/>
          <w:color w:val="auto"/>
          <w:kern w:val="0"/>
          <w:szCs w:val="28"/>
          <w:highlight w:val="none"/>
          <w:lang w:val="en-US" w:eastAsia="zh-CN"/>
        </w:rPr>
        <w:t>五</w:t>
      </w:r>
      <w:r>
        <w:rPr>
          <w:rFonts w:hint="eastAsia" w:ascii="方正仿宋_GBK" w:hAnsi="仿宋" w:eastAsia="方正仿宋_GBK" w:cs="仿宋"/>
          <w:color w:val="auto"/>
          <w:kern w:val="0"/>
          <w:szCs w:val="28"/>
          <w:highlight w:val="none"/>
          <w:lang w:val="en-US" w:eastAsia="zh-CN"/>
        </w:rPr>
        <w:t>）特定资格条件证书或证明文件：</w:t>
      </w:r>
      <w:bookmarkStart w:id="891" w:name="_GoBack"/>
      <w:bookmarkEnd w:id="891"/>
    </w:p>
    <w:p>
      <w:pPr>
        <w:spacing w:line="520" w:lineRule="exact"/>
        <w:ind w:firstLine="480" w:firstLineChars="200"/>
        <w:jc w:val="left"/>
        <w:rPr>
          <w:color w:val="auto"/>
          <w:highlight w:val="none"/>
        </w:rPr>
      </w:pPr>
      <w:r>
        <w:rPr>
          <w:rFonts w:hint="eastAsia" w:ascii="方正仿宋_GBK" w:hAnsi="仿宋" w:eastAsia="仿宋" w:cs="仿宋"/>
          <w:color w:val="auto"/>
          <w:kern w:val="0"/>
          <w:szCs w:val="28"/>
          <w:highlight w:val="none"/>
        </w:rPr>
        <w:t>说明：供应商按“多证合一”登记制度办理营业执照的，税务登记证（副本）和社会保险登记证以供应商所提供的法人营业执照（副本）复印件为准。</w:t>
      </w:r>
    </w:p>
    <w:p>
      <w:pPr>
        <w:spacing w:line="520" w:lineRule="exact"/>
        <w:ind w:firstLine="482" w:firstLineChars="200"/>
        <w:jc w:val="left"/>
        <w:rPr>
          <w:rFonts w:hint="eastAsia" w:ascii="方正仿宋_GBK" w:hAnsi="仿宋" w:eastAsia="仿宋" w:cs="仿宋"/>
          <w:b/>
          <w:bCs/>
          <w:color w:val="auto"/>
          <w:kern w:val="0"/>
          <w:szCs w:val="28"/>
          <w:highlight w:val="none"/>
          <w:lang w:eastAsia="zh-CN"/>
        </w:rPr>
      </w:pPr>
      <w:bookmarkStart w:id="745" w:name="_Hlk84951735"/>
      <w:r>
        <w:rPr>
          <w:rFonts w:hint="eastAsia" w:ascii="方正仿宋_GBK" w:hAnsi="仿宋" w:eastAsia="仿宋" w:cs="仿宋"/>
          <w:b/>
          <w:bCs/>
          <w:color w:val="auto"/>
          <w:kern w:val="0"/>
          <w:szCs w:val="28"/>
          <w:highlight w:val="none"/>
          <w:lang w:eastAsia="zh-CN"/>
        </w:rPr>
        <w:t>五</w:t>
      </w:r>
      <w:r>
        <w:rPr>
          <w:rFonts w:hint="eastAsia" w:ascii="方正仿宋_GBK" w:hAnsi="仿宋" w:eastAsia="仿宋" w:cs="仿宋"/>
          <w:b/>
          <w:bCs/>
          <w:color w:val="auto"/>
          <w:kern w:val="0"/>
          <w:szCs w:val="28"/>
          <w:highlight w:val="none"/>
        </w:rPr>
        <w:t>、</w:t>
      </w:r>
      <w:r>
        <w:rPr>
          <w:rFonts w:hint="eastAsia" w:ascii="方正仿宋_GBK" w:hAnsi="仿宋" w:eastAsia="仿宋" w:cs="仿宋"/>
          <w:b/>
          <w:bCs/>
          <w:color w:val="auto"/>
          <w:kern w:val="0"/>
          <w:szCs w:val="28"/>
          <w:highlight w:val="none"/>
          <w:lang w:eastAsia="zh-CN"/>
        </w:rPr>
        <w:t>其他资料</w:t>
      </w:r>
    </w:p>
    <w:bookmarkEnd w:id="745"/>
    <w:p>
      <w:pPr>
        <w:spacing w:line="520" w:lineRule="exact"/>
        <w:ind w:firstLine="480" w:firstLineChars="200"/>
        <w:jc w:val="left"/>
        <w:rPr>
          <w:rFonts w:hint="default" w:ascii="方正仿宋_GBK" w:hAnsi="仿宋" w:eastAsia="仿宋" w:cs="仿宋"/>
          <w:color w:val="auto"/>
          <w:kern w:val="0"/>
          <w:szCs w:val="28"/>
          <w:highlight w:val="none"/>
        </w:rPr>
      </w:pPr>
      <w:r>
        <w:rPr>
          <w:rFonts w:hint="default" w:ascii="方正仿宋_GBK" w:hAnsi="仿宋" w:eastAsia="仿宋" w:cs="仿宋"/>
          <w:color w:val="auto"/>
          <w:kern w:val="0"/>
          <w:szCs w:val="28"/>
          <w:highlight w:val="none"/>
        </w:rPr>
        <w:t>（</w:t>
      </w:r>
      <w:r>
        <w:rPr>
          <w:rFonts w:hint="default" w:ascii="方正仿宋_GBK" w:hAnsi="仿宋" w:eastAsia="仿宋" w:cs="仿宋"/>
          <w:color w:val="auto"/>
          <w:kern w:val="0"/>
          <w:szCs w:val="28"/>
          <w:highlight w:val="none"/>
          <w:lang w:val="en-US" w:eastAsia="zh-CN"/>
        </w:rPr>
        <w:t>一</w:t>
      </w:r>
      <w:r>
        <w:rPr>
          <w:rFonts w:hint="default" w:ascii="方正仿宋_GBK" w:hAnsi="仿宋" w:eastAsia="仿宋" w:cs="仿宋"/>
          <w:color w:val="auto"/>
          <w:kern w:val="0"/>
          <w:szCs w:val="28"/>
          <w:highlight w:val="none"/>
        </w:rPr>
        <w:t>）其他与项目有关的资料</w:t>
      </w:r>
    </w:p>
    <w:p>
      <w:pPr>
        <w:spacing w:line="520" w:lineRule="exact"/>
        <w:ind w:firstLine="480" w:firstLineChars="200"/>
        <w:jc w:val="left"/>
        <w:outlineLvl w:val="1"/>
        <w:rPr>
          <w:rFonts w:ascii="方正仿宋_GBK" w:hAnsi="仿宋" w:eastAsia="仿宋" w:cs="仿宋"/>
          <w:b/>
          <w:bCs/>
          <w:color w:val="auto"/>
          <w:kern w:val="0"/>
          <w:szCs w:val="28"/>
          <w:highlight w:val="none"/>
        </w:rPr>
      </w:pPr>
      <w:r>
        <w:rPr>
          <w:rFonts w:ascii="宋体" w:hAnsi="宋体" w:eastAsia="仿宋"/>
          <w:bCs/>
          <w:color w:val="auto"/>
          <w:highlight w:val="none"/>
        </w:rPr>
        <w:br w:type="page"/>
      </w:r>
      <w:bookmarkStart w:id="746" w:name="_Toc20949"/>
      <w:bookmarkStart w:id="747" w:name="_Toc18058"/>
      <w:bookmarkStart w:id="748" w:name="_Toc12741"/>
      <w:bookmarkStart w:id="749" w:name="_Toc30105"/>
      <w:bookmarkStart w:id="750" w:name="_Toc10208"/>
      <w:bookmarkStart w:id="751" w:name="_Toc28175"/>
      <w:bookmarkStart w:id="752" w:name="_Toc15068"/>
      <w:bookmarkStart w:id="753" w:name="_Toc20852"/>
      <w:bookmarkStart w:id="754" w:name="_Toc30683"/>
      <w:bookmarkStart w:id="755" w:name="_Toc16090"/>
      <w:bookmarkStart w:id="756" w:name="_Toc5087"/>
      <w:bookmarkStart w:id="757" w:name="_Toc28394"/>
      <w:bookmarkStart w:id="758" w:name="_Toc25301"/>
      <w:bookmarkStart w:id="759" w:name="_Toc18483"/>
      <w:bookmarkStart w:id="760" w:name="_Toc21792"/>
      <w:bookmarkStart w:id="761" w:name="_Toc19023"/>
      <w:bookmarkStart w:id="762" w:name="_Toc17660"/>
      <w:bookmarkStart w:id="763" w:name="_Toc48837333"/>
      <w:bookmarkStart w:id="764" w:name="_Toc29008"/>
      <w:bookmarkStart w:id="765" w:name="_Toc21912"/>
      <w:bookmarkStart w:id="766" w:name="_Toc10090"/>
      <w:bookmarkStart w:id="767" w:name="_Toc20934"/>
      <w:bookmarkStart w:id="768" w:name="_Toc2635"/>
      <w:bookmarkStart w:id="769" w:name="_Toc23265"/>
      <w:bookmarkStart w:id="770" w:name="_Toc3491"/>
      <w:bookmarkStart w:id="771" w:name="_Toc25481"/>
      <w:bookmarkStart w:id="772" w:name="_Toc15293"/>
      <w:r>
        <w:rPr>
          <w:rFonts w:hint="eastAsia" w:ascii="方正仿宋_GBK" w:hAnsi="仿宋" w:eastAsia="仿宋" w:cs="仿宋"/>
          <w:b/>
          <w:bCs/>
          <w:color w:val="auto"/>
          <w:kern w:val="0"/>
          <w:szCs w:val="28"/>
          <w:highlight w:val="none"/>
        </w:rPr>
        <w:t>一、经济部分</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spacing w:line="520" w:lineRule="exact"/>
        <w:ind w:firstLine="480" w:firstLineChars="200"/>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（一）</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报价函</w:t>
      </w:r>
    </w:p>
    <w:p>
      <w:pPr>
        <w:spacing w:beforeLines="100" w:afterLines="100" w:line="520" w:lineRule="exact"/>
        <w:jc w:val="center"/>
        <w:rPr>
          <w:rFonts w:hint="eastAsia" w:ascii="仿宋" w:hAnsi="仿宋" w:eastAsia="仿宋"/>
          <w:color w:val="auto"/>
          <w:sz w:val="24"/>
          <w:szCs w:val="28"/>
          <w:highlight w:val="none"/>
        </w:rPr>
      </w:pPr>
      <w:r>
        <w:rPr>
          <w:rFonts w:hint="eastAsia" w:ascii="方正仿宋_GBK" w:hAnsi="仿宋" w:eastAsia="仿宋" w:cs="仿宋"/>
          <w:b/>
          <w:bCs/>
          <w:color w:val="auto"/>
          <w:kern w:val="0"/>
          <w:sz w:val="28"/>
          <w:szCs w:val="32"/>
          <w:highlight w:val="none"/>
          <w:lang w:eastAsia="zh-CN"/>
        </w:rPr>
        <w:t>遴选</w:t>
      </w:r>
      <w:r>
        <w:rPr>
          <w:rFonts w:hint="eastAsia" w:ascii="方正仿宋_GBK" w:hAnsi="仿宋" w:eastAsia="仿宋" w:cs="仿宋"/>
          <w:b/>
          <w:bCs/>
          <w:color w:val="auto"/>
          <w:kern w:val="0"/>
          <w:sz w:val="28"/>
          <w:szCs w:val="32"/>
          <w:highlight w:val="none"/>
        </w:rPr>
        <w:t>报价函</w:t>
      </w:r>
      <w:bookmarkStart w:id="773" w:name="_Toc8363"/>
      <w:bookmarkStart w:id="774" w:name="_Toc12729"/>
      <w:bookmarkStart w:id="775" w:name="_Toc3620"/>
      <w:bookmarkStart w:id="776" w:name="_Toc24441"/>
      <w:bookmarkStart w:id="777" w:name="_Toc17120"/>
      <w:bookmarkStart w:id="778" w:name="_Toc9141"/>
      <w:bookmarkStart w:id="779" w:name="_Toc25703"/>
      <w:bookmarkStart w:id="780" w:name="_Toc16499"/>
      <w:bookmarkStart w:id="781" w:name="_Toc26656"/>
      <w:bookmarkStart w:id="782" w:name="_Toc166"/>
      <w:bookmarkStart w:id="783" w:name="_Toc31684"/>
      <w:bookmarkStart w:id="784" w:name="_Toc22054"/>
      <w:bookmarkStart w:id="785" w:name="_Toc27814"/>
      <w:bookmarkStart w:id="786" w:name="_Toc14882"/>
      <w:bookmarkStart w:id="787" w:name="_Toc19026"/>
      <w:bookmarkStart w:id="788" w:name="_Toc23128"/>
      <w:bookmarkStart w:id="789" w:name="_Toc11931"/>
      <w:bookmarkStart w:id="790" w:name="_Toc20747"/>
      <w:bookmarkStart w:id="791" w:name="_Toc19211"/>
      <w:bookmarkStart w:id="792" w:name="_Toc48837334"/>
      <w:bookmarkStart w:id="793" w:name="_Toc29192"/>
      <w:bookmarkStart w:id="794" w:name="_Toc20381"/>
      <w:bookmarkStart w:id="795" w:name="_Toc5052"/>
      <w:bookmarkStart w:id="796" w:name="_Toc161727398"/>
    </w:p>
    <w:p>
      <w:pPr>
        <w:pageBreakBefore w:val="0"/>
        <w:kinsoku/>
        <w:wordWrap/>
        <w:overflowPunct/>
        <w:topLinePunct w:val="0"/>
        <w:autoSpaceDE/>
        <w:autoSpaceDN/>
        <w:bidi w:val="0"/>
        <w:spacing w:line="400" w:lineRule="exact"/>
        <w:ind w:left="0" w:right="0" w:firstLine="480" w:firstLineChars="200"/>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xml:space="preserve">项目号：                              </w:t>
      </w:r>
    </w:p>
    <w:p>
      <w:pPr>
        <w:pageBreakBefore w:val="0"/>
        <w:kinsoku/>
        <w:wordWrap/>
        <w:overflowPunct/>
        <w:topLinePunct w:val="0"/>
        <w:autoSpaceDE/>
        <w:autoSpaceDN/>
        <w:bidi w:val="0"/>
        <w:spacing w:line="400" w:lineRule="exact"/>
        <w:ind w:left="0" w:right="0" w:firstLine="480" w:firstLineChars="200"/>
        <w:textAlignment w:val="auto"/>
        <w:outlineLvl w:val="9"/>
        <w:rPr>
          <w:rFonts w:hint="default" w:ascii="Times New Roman" w:hAnsi="Times New Roman" w:eastAsia="方正仿宋_GBK" w:cs="Times New Roman"/>
          <w:sz w:val="24"/>
          <w:szCs w:val="24"/>
          <w:highlight w:val="none"/>
          <w:u w:val="single"/>
        </w:rPr>
      </w:pPr>
      <w:r>
        <w:rPr>
          <w:rFonts w:hint="eastAsia" w:cs="Times New Roman"/>
          <w:sz w:val="24"/>
          <w:szCs w:val="24"/>
          <w:highlight w:val="none"/>
          <w:lang w:eastAsia="zh-CN"/>
        </w:rPr>
        <w:t>遴选</w:t>
      </w:r>
      <w:r>
        <w:rPr>
          <w:rFonts w:hint="default" w:ascii="Times New Roman" w:hAnsi="Times New Roman" w:eastAsia="方正仿宋_GBK" w:cs="Times New Roman"/>
          <w:sz w:val="24"/>
          <w:szCs w:val="24"/>
          <w:highlight w:val="none"/>
        </w:rPr>
        <w:t xml:space="preserve">项目名称：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1590"/>
        <w:gridCol w:w="1698"/>
        <w:gridCol w:w="630"/>
        <w:gridCol w:w="1425"/>
        <w:gridCol w:w="1995"/>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
                <w:color w:val="000000"/>
                <w:sz w:val="22"/>
                <w:szCs w:val="21"/>
                <w:highlight w:val="none"/>
              </w:rPr>
            </w:pPr>
            <w:r>
              <w:rPr>
                <w:rFonts w:hint="default" w:ascii="Times New Roman" w:hAnsi="Times New Roman"/>
                <w:b/>
                <w:color w:val="000000"/>
                <w:sz w:val="22"/>
                <w:szCs w:val="21"/>
                <w:highlight w:val="none"/>
              </w:rPr>
              <w:t>序号</w:t>
            </w:r>
          </w:p>
        </w:tc>
        <w:tc>
          <w:tcPr>
            <w:tcW w:w="1590"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
                <w:color w:val="000000"/>
                <w:sz w:val="22"/>
                <w:szCs w:val="21"/>
                <w:highlight w:val="none"/>
              </w:rPr>
            </w:pPr>
            <w:r>
              <w:rPr>
                <w:rFonts w:hint="default" w:ascii="Times New Roman" w:hAnsi="Times New Roman"/>
                <w:b/>
                <w:color w:val="000000"/>
                <w:sz w:val="22"/>
                <w:szCs w:val="21"/>
                <w:highlight w:val="none"/>
              </w:rPr>
              <w:t>通用</w:t>
            </w:r>
            <w:r>
              <w:rPr>
                <w:rFonts w:hint="default" w:ascii="Times New Roman" w:hAnsi="Times New Roman"/>
                <w:b/>
                <w:color w:val="000000"/>
                <w:sz w:val="22"/>
                <w:szCs w:val="21"/>
                <w:highlight w:val="none"/>
                <w:lang w:eastAsia="zh-Hans"/>
              </w:rPr>
              <w:t>名称</w:t>
            </w:r>
          </w:p>
        </w:tc>
        <w:tc>
          <w:tcPr>
            <w:tcW w:w="1698"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
                <w:color w:val="000000"/>
                <w:sz w:val="22"/>
                <w:szCs w:val="21"/>
                <w:highlight w:val="none"/>
              </w:rPr>
            </w:pPr>
            <w:r>
              <w:rPr>
                <w:rFonts w:hint="default" w:ascii="Times New Roman" w:hAnsi="Times New Roman"/>
                <w:b/>
                <w:color w:val="000000"/>
                <w:sz w:val="22"/>
                <w:szCs w:val="21"/>
                <w:highlight w:val="none"/>
              </w:rPr>
              <w:t>产品</w:t>
            </w:r>
            <w:r>
              <w:rPr>
                <w:rFonts w:hint="default" w:ascii="Times New Roman" w:hAnsi="Times New Roman"/>
                <w:b/>
                <w:color w:val="000000"/>
                <w:sz w:val="22"/>
                <w:szCs w:val="21"/>
                <w:highlight w:val="none"/>
                <w:lang w:eastAsia="zh-Hans"/>
              </w:rPr>
              <w:t>名称</w:t>
            </w:r>
          </w:p>
        </w:tc>
        <w:tc>
          <w:tcPr>
            <w:tcW w:w="630"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
                <w:color w:val="000000"/>
                <w:sz w:val="22"/>
                <w:szCs w:val="21"/>
                <w:highlight w:val="none"/>
              </w:rPr>
            </w:pPr>
            <w:r>
              <w:rPr>
                <w:rFonts w:hint="eastAsia" w:ascii="Times New Roman" w:hAnsi="Times New Roman"/>
                <w:b/>
                <w:color w:val="000000"/>
                <w:sz w:val="22"/>
                <w:szCs w:val="21"/>
                <w:highlight w:val="none"/>
              </w:rPr>
              <w:t>计量</w:t>
            </w:r>
            <w:r>
              <w:rPr>
                <w:rFonts w:hint="default" w:ascii="Times New Roman" w:hAnsi="Times New Roman"/>
                <w:b/>
                <w:color w:val="000000"/>
                <w:sz w:val="22"/>
                <w:szCs w:val="21"/>
                <w:highlight w:val="none"/>
              </w:rPr>
              <w:t>单位</w:t>
            </w:r>
          </w:p>
        </w:tc>
        <w:tc>
          <w:tcPr>
            <w:tcW w:w="1425"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
                <w:color w:val="000000"/>
                <w:sz w:val="22"/>
                <w:szCs w:val="21"/>
                <w:highlight w:val="none"/>
              </w:rPr>
            </w:pPr>
            <w:r>
              <w:rPr>
                <w:rFonts w:hint="eastAsia" w:ascii="Times New Roman" w:hAnsi="Times New Roman"/>
                <w:b/>
                <w:color w:val="000000"/>
                <w:sz w:val="22"/>
                <w:szCs w:val="21"/>
                <w:highlight w:val="none"/>
              </w:rPr>
              <w:t>规格型号</w:t>
            </w:r>
          </w:p>
        </w:tc>
        <w:tc>
          <w:tcPr>
            <w:tcW w:w="1995"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
                <w:color w:val="000000"/>
                <w:sz w:val="22"/>
                <w:szCs w:val="21"/>
                <w:highlight w:val="none"/>
              </w:rPr>
            </w:pPr>
            <w:r>
              <w:rPr>
                <w:rFonts w:hint="default" w:ascii="Times New Roman" w:hAnsi="Times New Roman"/>
                <w:b/>
                <w:color w:val="000000"/>
                <w:sz w:val="22"/>
                <w:szCs w:val="21"/>
                <w:highlight w:val="none"/>
              </w:rPr>
              <w:t>生产厂家</w:t>
            </w:r>
          </w:p>
        </w:tc>
        <w:tc>
          <w:tcPr>
            <w:tcW w:w="1136" w:type="dxa"/>
            <w:noWrap w:val="0"/>
            <w:vAlign w:val="center"/>
          </w:tcPr>
          <w:p>
            <w:pPr>
              <w:keepNext w:val="0"/>
              <w:keepLines w:val="0"/>
              <w:suppressLineNumbers w:val="0"/>
              <w:spacing w:before="0" w:beforeAutospacing="0" w:after="0" w:afterAutospacing="0" w:line="0" w:lineRule="atLeast"/>
              <w:ind w:left="0" w:right="0"/>
              <w:jc w:val="center"/>
              <w:rPr>
                <w:rFonts w:hint="default"/>
                <w:szCs w:val="20"/>
                <w:highlight w:val="none"/>
                <w:lang w:val="en-US" w:eastAsia="zh-CN"/>
              </w:rPr>
            </w:pPr>
            <w:r>
              <w:rPr>
                <w:rFonts w:hint="default"/>
                <w:szCs w:val="20"/>
                <w:highlight w:val="none"/>
              </w:rPr>
              <w:t>价格(元）/每克</w:t>
            </w:r>
            <w:r>
              <w:rPr>
                <w:rFonts w:hint="eastAsia"/>
                <w:szCs w:val="20"/>
                <w:highlight w:val="none"/>
                <w:lang w:val="en-US" w:eastAsia="zh-CN"/>
              </w:rPr>
              <w:t>/</w:t>
            </w:r>
            <w:r>
              <w:rPr>
                <w:rFonts w:hint="eastAsia" w:ascii="Times New Roman" w:hAnsi="Times New Roman" w:cs="Times New Roman"/>
                <w:szCs w:val="20"/>
                <w:highlight w:val="none"/>
                <w:lang w:val="en-US" w:eastAsia="zh-CN"/>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r>
              <w:rPr>
                <w:rFonts w:hint="default" w:ascii="Times New Roman" w:hAnsi="Times New Roman"/>
                <w:bCs/>
                <w:color w:val="000000"/>
                <w:sz w:val="22"/>
                <w:szCs w:val="21"/>
                <w:highlight w:val="none"/>
              </w:rPr>
              <w:t>1</w:t>
            </w:r>
          </w:p>
        </w:tc>
        <w:tc>
          <w:tcPr>
            <w:tcW w:w="1590"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1698"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630"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1425"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1995"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1136"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r>
              <w:rPr>
                <w:rFonts w:hint="default" w:ascii="Times New Roman" w:hAnsi="Times New Roman"/>
                <w:bCs/>
                <w:color w:val="000000"/>
                <w:sz w:val="22"/>
                <w:szCs w:val="21"/>
                <w:highlight w:val="none"/>
              </w:rPr>
              <w:t>2</w:t>
            </w:r>
          </w:p>
        </w:tc>
        <w:tc>
          <w:tcPr>
            <w:tcW w:w="1590"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1698"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630"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1425"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1995"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1136"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r>
              <w:rPr>
                <w:rFonts w:hint="default" w:ascii="Times New Roman" w:hAnsi="Times New Roman"/>
                <w:bCs/>
                <w:color w:val="000000"/>
                <w:sz w:val="22"/>
                <w:szCs w:val="21"/>
                <w:highlight w:val="none"/>
              </w:rPr>
              <w:t>...</w:t>
            </w:r>
          </w:p>
        </w:tc>
        <w:tc>
          <w:tcPr>
            <w:tcW w:w="1590"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1698"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630"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1425"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1995"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1136"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8" w:type="dxa"/>
            <w:gridSpan w:val="6"/>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r>
              <w:rPr>
                <w:rFonts w:hint="default" w:ascii="Times New Roman" w:hAnsi="Times New Roman"/>
                <w:bCs/>
                <w:color w:val="000000"/>
                <w:sz w:val="22"/>
                <w:szCs w:val="21"/>
                <w:highlight w:val="none"/>
              </w:rPr>
              <w:t>单价合计</w:t>
            </w:r>
          </w:p>
        </w:tc>
        <w:tc>
          <w:tcPr>
            <w:tcW w:w="1136"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r>
    </w:tbl>
    <w:p>
      <w:pPr>
        <w:pageBreakBefore w:val="0"/>
        <w:kinsoku/>
        <w:wordWrap/>
        <w:overflowPunct/>
        <w:topLinePunct w:val="0"/>
        <w:autoSpaceDE/>
        <w:autoSpaceDN/>
        <w:bidi w:val="0"/>
        <w:snapToGrid w:val="0"/>
        <w:spacing w:line="500" w:lineRule="exact"/>
        <w:ind w:right="0"/>
        <w:textAlignment w:val="auto"/>
        <w:outlineLvl w:val="9"/>
        <w:rPr>
          <w:rFonts w:hint="default" w:ascii="Times New Roman" w:hAnsi="Times New Roman" w:eastAsia="方正仿宋_GBK" w:cs="Times New Roman"/>
          <w:sz w:val="24"/>
          <w:szCs w:val="28"/>
          <w:highlight w:val="none"/>
        </w:rPr>
      </w:pPr>
    </w:p>
    <w:p>
      <w:pPr>
        <w:pageBreakBefore w:val="0"/>
        <w:kinsoku/>
        <w:wordWrap/>
        <w:overflowPunct/>
        <w:topLinePunct w:val="0"/>
        <w:autoSpaceDE/>
        <w:autoSpaceDN/>
        <w:bidi w:val="0"/>
        <w:snapToGrid w:val="0"/>
        <w:spacing w:line="500" w:lineRule="exact"/>
        <w:ind w:left="0" w:right="0" w:firstLine="480" w:firstLineChars="200"/>
        <w:textAlignment w:val="auto"/>
        <w:outlineLvl w:val="9"/>
        <w:rPr>
          <w:rFonts w:hint="default" w:ascii="Times New Roman" w:hAnsi="Times New Roman" w:eastAsia="方正仿宋_GBK" w:cs="Times New Roman"/>
          <w:sz w:val="24"/>
          <w:szCs w:val="28"/>
          <w:highlight w:val="none"/>
        </w:rPr>
      </w:pPr>
      <w:r>
        <w:rPr>
          <w:rFonts w:hint="default" w:ascii="Times New Roman" w:hAnsi="Times New Roman" w:eastAsia="方正仿宋_GBK" w:cs="Times New Roman"/>
          <w:sz w:val="24"/>
          <w:szCs w:val="28"/>
          <w:highlight w:val="none"/>
        </w:rPr>
        <w:t>注：1.供应商应完整填写本表。</w:t>
      </w:r>
    </w:p>
    <w:p>
      <w:pPr>
        <w:pageBreakBefore w:val="0"/>
        <w:kinsoku/>
        <w:wordWrap/>
        <w:overflowPunct/>
        <w:topLinePunct w:val="0"/>
        <w:autoSpaceDE/>
        <w:autoSpaceDN/>
        <w:bidi w:val="0"/>
        <w:snapToGrid w:val="0"/>
        <w:spacing w:line="500" w:lineRule="exact"/>
        <w:ind w:left="0" w:right="0"/>
        <w:textAlignment w:val="auto"/>
        <w:outlineLvl w:val="9"/>
        <w:rPr>
          <w:rFonts w:hint="default" w:ascii="Times New Roman" w:hAnsi="Times New Roman" w:eastAsia="方正仿宋_GBK" w:cs="Times New Roman"/>
          <w:sz w:val="24"/>
          <w:szCs w:val="28"/>
          <w:highlight w:val="none"/>
        </w:rPr>
      </w:pPr>
      <w:r>
        <w:rPr>
          <w:rFonts w:hint="default" w:ascii="Times New Roman" w:hAnsi="Times New Roman" w:eastAsia="方正仿宋_GBK" w:cs="Times New Roman"/>
          <w:sz w:val="24"/>
          <w:szCs w:val="28"/>
          <w:highlight w:val="none"/>
        </w:rPr>
        <w:t xml:space="preserve">        2.该表可扩展</w:t>
      </w:r>
      <w:bookmarkStart w:id="797" w:name="OLE_LINK2"/>
      <w:bookmarkStart w:id="798" w:name="OLE_LINK1"/>
      <w:r>
        <w:rPr>
          <w:rFonts w:hint="default" w:ascii="Times New Roman" w:hAnsi="Times New Roman" w:eastAsia="方正仿宋_GBK" w:cs="Times New Roman"/>
          <w:sz w:val="24"/>
          <w:szCs w:val="28"/>
          <w:highlight w:val="none"/>
        </w:rPr>
        <w:t>。</w:t>
      </w:r>
      <w:bookmarkEnd w:id="797"/>
      <w:bookmarkEnd w:id="798"/>
    </w:p>
    <w:p>
      <w:pPr>
        <w:pStyle w:val="17"/>
        <w:pageBreakBefore w:val="0"/>
        <w:kinsoku/>
        <w:wordWrap/>
        <w:overflowPunct/>
        <w:topLinePunct w:val="0"/>
        <w:autoSpaceDE/>
        <w:autoSpaceDN/>
        <w:bidi w:val="0"/>
        <w:spacing w:line="360" w:lineRule="auto"/>
        <w:ind w:left="0" w:right="0"/>
        <w:textAlignment w:val="auto"/>
        <w:outlineLvl w:val="9"/>
        <w:rPr>
          <w:rFonts w:hint="default" w:ascii="Times New Roman" w:hAnsi="Times New Roman" w:eastAsia="方正仿宋_GBK" w:cs="Times New Roman"/>
          <w:sz w:val="24"/>
          <w:szCs w:val="24"/>
          <w:highlight w:val="none"/>
        </w:rPr>
      </w:pPr>
    </w:p>
    <w:p>
      <w:pPr>
        <w:pStyle w:val="17"/>
        <w:pageBreakBefore w:val="0"/>
        <w:kinsoku/>
        <w:wordWrap/>
        <w:overflowPunct/>
        <w:topLinePunct w:val="0"/>
        <w:autoSpaceDE/>
        <w:autoSpaceDN/>
        <w:bidi w:val="0"/>
        <w:spacing w:line="360" w:lineRule="auto"/>
        <w:ind w:left="0" w:right="0"/>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xml:space="preserve">            </w:t>
      </w:r>
    </w:p>
    <w:p>
      <w:pPr>
        <w:pageBreakBefore w:val="0"/>
        <w:kinsoku/>
        <w:wordWrap/>
        <w:overflowPunct/>
        <w:topLinePunct w:val="0"/>
        <w:autoSpaceDE/>
        <w:autoSpaceDN/>
        <w:bidi w:val="0"/>
        <w:ind w:left="0" w:right="0"/>
        <w:textAlignment w:val="auto"/>
        <w:outlineLvl w:val="9"/>
        <w:rPr>
          <w:rFonts w:hint="default" w:ascii="Times New Roman" w:hAnsi="Times New Roman" w:cs="Times New Roman"/>
          <w:highlight w:val="none"/>
        </w:rPr>
      </w:pPr>
    </w:p>
    <w:p>
      <w:pPr>
        <w:pageBreakBefore w:val="0"/>
        <w:kinsoku/>
        <w:wordWrap/>
        <w:overflowPunct/>
        <w:topLinePunct w:val="0"/>
        <w:autoSpaceDE/>
        <w:autoSpaceDN/>
        <w:bidi w:val="0"/>
        <w:ind w:left="0" w:right="0"/>
        <w:textAlignment w:val="auto"/>
        <w:outlineLvl w:val="9"/>
        <w:rPr>
          <w:rFonts w:hint="default" w:ascii="Times New Roman" w:hAnsi="Times New Roman" w:cs="Times New Roman"/>
          <w:highlight w:val="none"/>
        </w:rPr>
      </w:pPr>
    </w:p>
    <w:p>
      <w:pPr>
        <w:pageBreakBefore w:val="0"/>
        <w:kinsoku/>
        <w:wordWrap/>
        <w:overflowPunct/>
        <w:topLinePunct w:val="0"/>
        <w:autoSpaceDE/>
        <w:autoSpaceDN/>
        <w:bidi w:val="0"/>
        <w:spacing w:line="360" w:lineRule="auto"/>
        <w:ind w:left="0" w:right="0"/>
        <w:textAlignment w:val="auto"/>
        <w:outlineLvl w:val="9"/>
        <w:rPr>
          <w:rFonts w:hint="default" w:ascii="Times New Roman" w:hAnsi="Times New Roman" w:cs="Times New Roman"/>
          <w:highlight w:val="none"/>
        </w:rPr>
      </w:pPr>
      <w:r>
        <w:rPr>
          <w:rFonts w:hint="default" w:ascii="Times New Roman" w:hAnsi="Times New Roman" w:eastAsia="方正仿宋_GBK" w:cs="Times New Roman"/>
          <w:sz w:val="24"/>
          <w:szCs w:val="24"/>
          <w:highlight w:val="none"/>
        </w:rPr>
        <w:t xml:space="preserve">                                             供应商名称（公章）或自然人签署：</w:t>
      </w:r>
    </w:p>
    <w:p>
      <w:pPr>
        <w:pageBreakBefore w:val="0"/>
        <w:kinsoku/>
        <w:wordWrap/>
        <w:overflowPunct/>
        <w:topLinePunct w:val="0"/>
        <w:autoSpaceDE/>
        <w:autoSpaceDN/>
        <w:bidi w:val="0"/>
        <w:spacing w:line="360" w:lineRule="auto"/>
        <w:ind w:left="0" w:right="0" w:firstLine="6480" w:firstLineChars="2700"/>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年     月    日</w:t>
      </w:r>
    </w:p>
    <w:p>
      <w:pPr>
        <w:pStyle w:val="13"/>
        <w:spacing w:line="520" w:lineRule="exact"/>
        <w:jc w:val="both"/>
        <w:rPr>
          <w:rFonts w:hint="eastAsia" w:ascii="仿宋" w:hAnsi="仿宋" w:eastAsia="仿宋"/>
          <w:color w:val="auto"/>
          <w:sz w:val="24"/>
          <w:szCs w:val="28"/>
          <w:highlight w:val="none"/>
        </w:rPr>
      </w:pPr>
      <w:r>
        <w:rPr>
          <w:rFonts w:hint="eastAsia" w:ascii="仿宋" w:hAnsi="仿宋" w:eastAsia="仿宋"/>
          <w:color w:val="auto"/>
          <w:sz w:val="24"/>
          <w:szCs w:val="28"/>
          <w:highlight w:val="none"/>
        </w:rPr>
        <w:t xml:space="preserve">   </w:t>
      </w:r>
    </w:p>
    <w:p>
      <w:pPr>
        <w:pStyle w:val="13"/>
        <w:spacing w:line="520" w:lineRule="exact"/>
        <w:jc w:val="both"/>
        <w:rPr>
          <w:rFonts w:hint="eastAsia" w:ascii="仿宋" w:hAnsi="仿宋" w:eastAsia="仿宋"/>
          <w:color w:val="auto"/>
          <w:sz w:val="24"/>
          <w:szCs w:val="28"/>
          <w:highlight w:val="none"/>
        </w:rPr>
      </w:pPr>
    </w:p>
    <w:p>
      <w:pPr>
        <w:pStyle w:val="13"/>
        <w:spacing w:line="520" w:lineRule="exact"/>
        <w:jc w:val="both"/>
        <w:rPr>
          <w:rFonts w:ascii="仿宋" w:hAnsi="仿宋" w:eastAsia="仿宋"/>
          <w:color w:val="auto"/>
          <w:sz w:val="24"/>
          <w:szCs w:val="28"/>
          <w:highlight w:val="none"/>
        </w:rPr>
      </w:pPr>
      <w:r>
        <w:rPr>
          <w:rFonts w:hint="eastAsia" w:ascii="仿宋" w:hAnsi="仿宋" w:eastAsia="仿宋"/>
          <w:color w:val="auto"/>
          <w:sz w:val="24"/>
          <w:szCs w:val="28"/>
          <w:highlight w:val="none"/>
          <w:lang w:eastAsia="zh-CN"/>
        </w:rPr>
        <w:t>（二</w:t>
      </w:r>
      <w:r>
        <w:rPr>
          <w:rFonts w:hint="eastAsia" w:ascii="Times New Roman" w:hAnsi="Times New Roman" w:eastAsia="方正仿宋_GBK" w:cs="Times New Roman"/>
          <w:kern w:val="2"/>
          <w:sz w:val="24"/>
          <w:szCs w:val="28"/>
          <w:highlight w:val="none"/>
          <w:lang w:val="en-US" w:eastAsia="zh-CN" w:bidi="ar-SA"/>
        </w:rPr>
        <w:t>）</w:t>
      </w:r>
      <w:r>
        <w:rPr>
          <w:rFonts w:hint="default" w:ascii="Times New Roman" w:hAnsi="Times New Roman" w:eastAsia="方正仿宋_GBK" w:cs="Times New Roman"/>
          <w:kern w:val="2"/>
          <w:sz w:val="24"/>
          <w:szCs w:val="28"/>
          <w:highlight w:val="none"/>
          <w:lang w:val="en-US" w:eastAsia="zh-CN" w:bidi="ar-SA"/>
        </w:rPr>
        <w:t>2024年度</w:t>
      </w:r>
      <w:r>
        <w:rPr>
          <w:rFonts w:hint="eastAsia" w:ascii="Times New Roman" w:hAnsi="Times New Roman" w:eastAsia="方正仿宋_GBK" w:cs="Times New Roman"/>
          <w:kern w:val="2"/>
          <w:sz w:val="24"/>
          <w:szCs w:val="28"/>
          <w:highlight w:val="none"/>
          <w:lang w:val="en-US" w:eastAsia="zh-CN" w:bidi="ar-SA"/>
        </w:rPr>
        <w:t>肠内营养制剂</w:t>
      </w:r>
      <w:r>
        <w:rPr>
          <w:rFonts w:hint="default" w:ascii="Times New Roman" w:hAnsi="Times New Roman" w:eastAsia="方正仿宋_GBK" w:cs="Times New Roman"/>
          <w:kern w:val="2"/>
          <w:sz w:val="24"/>
          <w:szCs w:val="28"/>
          <w:highlight w:val="none"/>
          <w:lang w:val="en-US" w:eastAsia="zh-CN" w:bidi="ar-SA"/>
        </w:rPr>
        <w:t>报价函</w:t>
      </w:r>
      <w:r>
        <w:rPr>
          <w:rFonts w:hint="eastAsia" w:ascii="Times New Roman" w:hAnsi="Times New Roman" w:eastAsia="方正仿宋_GBK" w:cs="Times New Roman"/>
          <w:kern w:val="2"/>
          <w:sz w:val="24"/>
          <w:szCs w:val="28"/>
          <w:highlight w:val="none"/>
          <w:lang w:val="en-US" w:eastAsia="zh-CN" w:bidi="ar-SA"/>
        </w:rPr>
        <w:t>（excel版本）</w:t>
      </w:r>
      <w:r>
        <w:rPr>
          <w:rFonts w:hint="default" w:ascii="Times New Roman" w:hAnsi="Times New Roman" w:eastAsia="方正仿宋_GBK" w:cs="Times New Roman"/>
          <w:kern w:val="2"/>
          <w:sz w:val="24"/>
          <w:szCs w:val="28"/>
          <w:highlight w:val="none"/>
          <w:lang w:val="en-US" w:eastAsia="zh-CN" w:bidi="ar-SA"/>
        </w:rPr>
        <w:t>电子版的U盘</w:t>
      </w:r>
      <w:r>
        <w:rPr>
          <w:rFonts w:hint="eastAsia" w:ascii="Times New Roman" w:hAnsi="Times New Roman" w:eastAsia="方正仿宋_GBK" w:cs="Times New Roman"/>
          <w:kern w:val="2"/>
          <w:sz w:val="24"/>
          <w:szCs w:val="28"/>
          <w:highlight w:val="none"/>
          <w:lang w:val="en-US" w:eastAsia="zh-CN" w:bidi="ar-SA"/>
        </w:rPr>
        <w:t xml:space="preserve">   </w:t>
      </w:r>
      <w:r>
        <w:rPr>
          <w:rFonts w:hint="eastAsia" w:ascii="仿宋" w:hAnsi="仿宋" w:eastAsia="仿宋"/>
          <w:color w:val="auto"/>
          <w:sz w:val="24"/>
          <w:szCs w:val="28"/>
          <w:highlight w:val="none"/>
        </w:rPr>
        <w:t xml:space="preserve">                       </w:t>
      </w:r>
    </w:p>
    <w:p>
      <w:pPr>
        <w:pStyle w:val="13"/>
        <w:spacing w:line="520" w:lineRule="exact"/>
        <w:ind w:firstLine="480" w:firstLineChars="200"/>
        <w:jc w:val="right"/>
        <w:rPr>
          <w:rFonts w:ascii="仿宋" w:hAnsi="仿宋" w:eastAsia="仿宋"/>
          <w:color w:val="auto"/>
          <w:sz w:val="24"/>
          <w:szCs w:val="28"/>
          <w:highlight w:val="none"/>
        </w:rPr>
        <w:sectPr>
          <w:headerReference r:id="rId8" w:type="default"/>
          <w:pgSz w:w="11907" w:h="16840"/>
          <w:pgMar w:top="1134" w:right="1191" w:bottom="1134" w:left="1304" w:header="851" w:footer="992" w:gutter="0"/>
          <w:pgBorders>
            <w:top w:val="none" w:sz="0" w:space="0"/>
            <w:left w:val="none" w:sz="0" w:space="0"/>
            <w:bottom w:val="none" w:sz="0" w:space="0"/>
            <w:right w:val="none" w:sz="0" w:space="0"/>
          </w:pgBorders>
          <w:pgNumType w:fmt="decimal"/>
          <w:cols w:space="720" w:num="1"/>
          <w:docGrid w:linePitch="380" w:charSpace="-5735"/>
        </w:sectPr>
      </w:pPr>
    </w:p>
    <w:p>
      <w:pPr>
        <w:spacing w:line="520" w:lineRule="exact"/>
        <w:ind w:firstLine="438" w:firstLineChars="200"/>
        <w:jc w:val="left"/>
        <w:outlineLvl w:val="1"/>
        <w:rPr>
          <w:rFonts w:ascii="方正仿宋_GBK" w:hAnsi="仿宋" w:eastAsia="仿宋" w:cs="仿宋"/>
          <w:b/>
          <w:bCs/>
          <w:color w:val="auto"/>
          <w:kern w:val="0"/>
          <w:szCs w:val="28"/>
          <w:highlight w:val="none"/>
        </w:rPr>
      </w:pPr>
      <w:bookmarkStart w:id="799" w:name="_Toc14874"/>
      <w:bookmarkStart w:id="800" w:name="_Toc2481"/>
      <w:bookmarkStart w:id="801" w:name="_Toc19311"/>
      <w:bookmarkStart w:id="802" w:name="_Toc24967"/>
      <w:r>
        <w:rPr>
          <w:rFonts w:hint="eastAsia" w:ascii="方正仿宋_GBK" w:hAnsi="仿宋" w:eastAsia="仿宋" w:cs="仿宋"/>
          <w:b/>
          <w:bCs/>
          <w:color w:val="auto"/>
          <w:kern w:val="0"/>
          <w:szCs w:val="28"/>
          <w:highlight w:val="none"/>
        </w:rPr>
        <w:t>二、服务部分</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9"/>
      <w:bookmarkEnd w:id="800"/>
      <w:bookmarkEnd w:id="801"/>
      <w:bookmarkEnd w:id="802"/>
    </w:p>
    <w:p>
      <w:pPr>
        <w:spacing w:line="520" w:lineRule="exact"/>
        <w:ind w:firstLine="438" w:firstLineChars="200"/>
        <w:jc w:val="left"/>
        <w:rPr>
          <w:rFonts w:ascii="仿宋" w:hAnsi="仿宋" w:eastAsia="仿宋" w:cs="仿宋"/>
          <w:color w:val="auto"/>
          <w:szCs w:val="22"/>
          <w:highlight w:val="none"/>
        </w:rPr>
      </w:pPr>
      <w:r>
        <w:rPr>
          <w:rFonts w:hint="eastAsia" w:ascii="方正仿宋_GBK" w:hAnsi="仿宋" w:eastAsia="仿宋" w:cs="仿宋"/>
          <w:color w:val="auto"/>
          <w:kern w:val="0"/>
          <w:szCs w:val="28"/>
          <w:highlight w:val="none"/>
        </w:rPr>
        <w:t>（一）</w:t>
      </w:r>
      <w:bookmarkStart w:id="803" w:name="_Hlk84672559"/>
      <w:r>
        <w:rPr>
          <w:rFonts w:hint="eastAsia" w:ascii="方正仿宋_GBK" w:hAnsi="仿宋" w:eastAsia="仿宋" w:cs="仿宋"/>
          <w:color w:val="auto"/>
          <w:kern w:val="0"/>
          <w:szCs w:val="28"/>
          <w:highlight w:val="none"/>
          <w:lang w:eastAsia="zh-CN"/>
        </w:rPr>
        <w:t>技术</w:t>
      </w:r>
      <w:r>
        <w:rPr>
          <w:rFonts w:hint="eastAsia" w:ascii="仿宋" w:hAnsi="仿宋" w:eastAsia="仿宋" w:cs="仿宋"/>
          <w:color w:val="auto"/>
          <w:szCs w:val="22"/>
          <w:highlight w:val="none"/>
        </w:rPr>
        <w:t>响应差异表</w:t>
      </w:r>
      <w:bookmarkEnd w:id="803"/>
    </w:p>
    <w:p>
      <w:pPr>
        <w:pStyle w:val="13"/>
        <w:spacing w:line="520" w:lineRule="exact"/>
        <w:jc w:val="center"/>
        <w:rPr>
          <w:rFonts w:ascii="仿宋" w:hAnsi="仿宋" w:eastAsia="仿宋"/>
          <w:b/>
          <w:bCs/>
          <w:color w:val="auto"/>
          <w:sz w:val="28"/>
          <w:szCs w:val="28"/>
          <w:highlight w:val="none"/>
        </w:rPr>
      </w:pPr>
      <w:bookmarkStart w:id="804" w:name="_Hlk84947197"/>
      <w:r>
        <w:rPr>
          <w:rFonts w:hint="eastAsia" w:ascii="仿宋" w:hAnsi="仿宋" w:eastAsia="仿宋" w:cs="仿宋"/>
          <w:b/>
          <w:bCs/>
          <w:color w:val="auto"/>
          <w:sz w:val="28"/>
          <w:szCs w:val="28"/>
          <w:highlight w:val="none"/>
          <w:lang w:eastAsia="zh-CN"/>
        </w:rPr>
        <w:t>技术</w:t>
      </w:r>
      <w:r>
        <w:rPr>
          <w:rFonts w:hint="eastAsia" w:ascii="仿宋" w:hAnsi="仿宋" w:eastAsia="仿宋" w:cs="仿宋"/>
          <w:b/>
          <w:bCs/>
          <w:color w:val="auto"/>
          <w:sz w:val="28"/>
          <w:szCs w:val="28"/>
          <w:highlight w:val="none"/>
        </w:rPr>
        <w:t>响应差异表</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项 目 号：</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项目名称：</w:t>
      </w:r>
    </w:p>
    <w:tbl>
      <w:tblPr>
        <w:tblStyle w:val="24"/>
        <w:tblW w:w="8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3216"/>
        <w:gridCol w:w="3217"/>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854" w:type="dxa"/>
            <w:vAlign w:val="center"/>
          </w:tcPr>
          <w:p>
            <w:pPr>
              <w:keepNext w:val="0"/>
              <w:keepLines w:val="0"/>
              <w:suppressLineNumbers w:val="0"/>
              <w:spacing w:before="0" w:beforeAutospacing="0" w:after="0" w:afterAutospacing="0" w:line="240" w:lineRule="atLeast"/>
              <w:ind w:left="0" w:right="0"/>
              <w:jc w:val="center"/>
              <w:rPr>
                <w:rFonts w:hint="default" w:ascii="仿宋" w:hAnsi="仿宋" w:eastAsia="仿宋"/>
                <w:b/>
                <w:color w:val="auto"/>
                <w:sz w:val="21"/>
                <w:szCs w:val="21"/>
                <w:highlight w:val="none"/>
              </w:rPr>
            </w:pPr>
            <w:r>
              <w:rPr>
                <w:rFonts w:hint="eastAsia" w:ascii="仿宋" w:hAnsi="仿宋" w:eastAsia="仿宋"/>
                <w:b/>
                <w:color w:val="auto"/>
                <w:sz w:val="21"/>
                <w:szCs w:val="21"/>
                <w:highlight w:val="none"/>
              </w:rPr>
              <w:t>序号</w:t>
            </w:r>
          </w:p>
        </w:tc>
        <w:tc>
          <w:tcPr>
            <w:tcW w:w="3216" w:type="dxa"/>
            <w:vAlign w:val="center"/>
          </w:tcPr>
          <w:p>
            <w:pPr>
              <w:keepNext w:val="0"/>
              <w:keepLines w:val="0"/>
              <w:suppressLineNumbers w:val="0"/>
              <w:spacing w:before="0" w:beforeAutospacing="0" w:after="0" w:afterAutospacing="0" w:line="240" w:lineRule="atLeast"/>
              <w:ind w:left="0" w:right="0"/>
              <w:jc w:val="center"/>
              <w:rPr>
                <w:rFonts w:hint="default" w:ascii="仿宋" w:hAnsi="仿宋" w:eastAsia="仿宋"/>
                <w:b/>
                <w:color w:val="auto"/>
                <w:sz w:val="21"/>
                <w:szCs w:val="21"/>
                <w:highlight w:val="none"/>
              </w:rPr>
            </w:pPr>
            <w:r>
              <w:rPr>
                <w:rFonts w:hint="eastAsia" w:ascii="仿宋" w:hAnsi="仿宋" w:eastAsia="仿宋"/>
                <w:b/>
                <w:color w:val="auto"/>
                <w:sz w:val="21"/>
                <w:szCs w:val="21"/>
                <w:highlight w:val="none"/>
              </w:rPr>
              <w:t>采购需求</w:t>
            </w:r>
          </w:p>
        </w:tc>
        <w:tc>
          <w:tcPr>
            <w:tcW w:w="3217" w:type="dxa"/>
            <w:vAlign w:val="center"/>
          </w:tcPr>
          <w:p>
            <w:pPr>
              <w:keepNext w:val="0"/>
              <w:keepLines w:val="0"/>
              <w:suppressLineNumbers w:val="0"/>
              <w:spacing w:before="0" w:beforeAutospacing="0" w:after="0" w:afterAutospacing="0" w:line="240" w:lineRule="atLeast"/>
              <w:ind w:left="0" w:right="0"/>
              <w:jc w:val="center"/>
              <w:rPr>
                <w:rFonts w:hint="default" w:ascii="仿宋" w:hAnsi="仿宋" w:eastAsia="仿宋"/>
                <w:b/>
                <w:color w:val="auto"/>
                <w:sz w:val="21"/>
                <w:szCs w:val="21"/>
                <w:highlight w:val="none"/>
              </w:rPr>
            </w:pPr>
            <w:r>
              <w:rPr>
                <w:rFonts w:hint="eastAsia" w:ascii="仿宋" w:hAnsi="仿宋" w:eastAsia="仿宋"/>
                <w:b/>
                <w:color w:val="auto"/>
                <w:sz w:val="21"/>
                <w:szCs w:val="21"/>
                <w:highlight w:val="none"/>
              </w:rPr>
              <w:t>响应应答</w:t>
            </w:r>
          </w:p>
        </w:tc>
        <w:tc>
          <w:tcPr>
            <w:tcW w:w="1314" w:type="dxa"/>
            <w:vAlign w:val="center"/>
          </w:tcPr>
          <w:p>
            <w:pPr>
              <w:keepNext w:val="0"/>
              <w:keepLines w:val="0"/>
              <w:suppressLineNumbers w:val="0"/>
              <w:spacing w:before="0" w:beforeAutospacing="0" w:after="0" w:afterAutospacing="0" w:line="240" w:lineRule="atLeast"/>
              <w:ind w:left="0" w:right="0"/>
              <w:jc w:val="center"/>
              <w:rPr>
                <w:rFonts w:hint="default" w:ascii="仿宋" w:hAnsi="仿宋" w:eastAsia="仿宋"/>
                <w:b/>
                <w:color w:val="auto"/>
                <w:sz w:val="21"/>
                <w:szCs w:val="21"/>
                <w:highlight w:val="none"/>
              </w:rPr>
            </w:pPr>
            <w:r>
              <w:rPr>
                <w:rFonts w:hint="eastAsia" w:ascii="仿宋" w:hAnsi="仿宋" w:eastAsia="仿宋"/>
                <w:b/>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r>
              <w:rPr>
                <w:rFonts w:hint="eastAsia" w:ascii="仿宋" w:hAnsi="仿宋" w:eastAsia="仿宋" w:cs="仿宋"/>
                <w:color w:val="auto"/>
                <w:sz w:val="21"/>
                <w:szCs w:val="21"/>
                <w:highlight w:val="none"/>
              </w:rPr>
              <w:t>提醒：请注明具体内容以及响应文件中具体内容的位置（页码）</w:t>
            </w: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bl>
    <w:p>
      <w:pPr>
        <w:pStyle w:val="13"/>
        <w:ind w:firstLine="438"/>
        <w:rPr>
          <w:rFonts w:ascii="仿宋" w:hAnsi="仿宋" w:eastAsia="仿宋"/>
          <w:color w:val="auto"/>
          <w:sz w:val="24"/>
          <w:szCs w:val="28"/>
          <w:highlight w:val="none"/>
        </w:rPr>
      </w:pP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供应商：                  法定代表人（或法定代表人授权代表）或自然人：</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（供应商公章）</w:t>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（签署或盖章）</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 xml:space="preserve"> 年   月   日 </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注：</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 xml:space="preserve">1.本表即为对本项目“第二篇  </w:t>
      </w:r>
      <w:r>
        <w:rPr>
          <w:rFonts w:hint="eastAsia" w:ascii="仿宋" w:hAnsi="仿宋" w:eastAsia="仿宋"/>
          <w:color w:val="auto"/>
          <w:sz w:val="24"/>
          <w:szCs w:val="28"/>
          <w:highlight w:val="none"/>
          <w:lang w:eastAsia="zh-CN"/>
        </w:rPr>
        <w:t>采购技术</w:t>
      </w:r>
      <w:r>
        <w:rPr>
          <w:rFonts w:hint="eastAsia" w:ascii="仿宋" w:hAnsi="仿宋" w:eastAsia="仿宋"/>
          <w:color w:val="auto"/>
          <w:sz w:val="24"/>
          <w:szCs w:val="28"/>
          <w:highlight w:val="none"/>
        </w:rPr>
        <w:t>要求”中所列条款进行比较和响应；</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2.该表必须按照</w:t>
      </w:r>
      <w:r>
        <w:rPr>
          <w:rFonts w:hint="eastAsia" w:ascii="仿宋" w:hAnsi="仿宋" w:eastAsia="仿宋"/>
          <w:color w:val="auto"/>
          <w:sz w:val="24"/>
          <w:szCs w:val="28"/>
          <w:highlight w:val="none"/>
          <w:lang w:eastAsia="zh-CN"/>
        </w:rPr>
        <w:t>遴选</w:t>
      </w:r>
      <w:r>
        <w:rPr>
          <w:rFonts w:hint="eastAsia" w:ascii="仿宋" w:hAnsi="仿宋" w:eastAsia="仿宋"/>
          <w:color w:val="auto"/>
          <w:sz w:val="24"/>
          <w:szCs w:val="28"/>
          <w:highlight w:val="none"/>
        </w:rPr>
        <w:t>文件要求逐条如实填写，根据响应情况在“差异说明”项填写正偏离或负偏离及原因，完全符合的填写“无差异”；</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3.该表可扩展；</w:t>
      </w:r>
    </w:p>
    <w:bookmarkEnd w:id="804"/>
    <w:p>
      <w:pPr>
        <w:pStyle w:val="13"/>
        <w:rPr>
          <w:color w:val="auto"/>
          <w:highlight w:val="none"/>
        </w:rPr>
      </w:pPr>
    </w:p>
    <w:p>
      <w:pPr>
        <w:pStyle w:val="13"/>
        <w:rPr>
          <w:color w:val="auto"/>
          <w:highlight w:val="none"/>
        </w:rPr>
      </w:pPr>
    </w:p>
    <w:p>
      <w:pPr>
        <w:pStyle w:val="13"/>
        <w:rPr>
          <w:color w:val="auto"/>
          <w:highlight w:val="none"/>
        </w:rPr>
      </w:pPr>
    </w:p>
    <w:p>
      <w:pPr>
        <w:spacing w:line="520" w:lineRule="exact"/>
        <w:ind w:firstLine="438" w:firstLineChars="200"/>
        <w:jc w:val="left"/>
        <w:rPr>
          <w:rFonts w:ascii="方正仿宋_GBK" w:hAnsi="仿宋" w:eastAsia="仿宋" w:cs="仿宋"/>
          <w:color w:val="auto"/>
          <w:kern w:val="0"/>
          <w:szCs w:val="28"/>
          <w:highlight w:val="none"/>
        </w:rPr>
      </w:pPr>
      <w:bookmarkStart w:id="805" w:name="_Toc6021"/>
      <w:bookmarkStart w:id="806" w:name="_Toc2927"/>
      <w:bookmarkStart w:id="807" w:name="_Toc18917"/>
      <w:bookmarkStart w:id="808" w:name="_Toc7869"/>
      <w:bookmarkStart w:id="809" w:name="_Toc28468"/>
      <w:bookmarkStart w:id="810" w:name="_Toc32692"/>
      <w:bookmarkStart w:id="811" w:name="_Toc9672"/>
      <w:bookmarkStart w:id="812" w:name="_Toc16645"/>
      <w:bookmarkStart w:id="813" w:name="_Toc10374"/>
      <w:bookmarkStart w:id="814" w:name="_Toc3263"/>
      <w:bookmarkStart w:id="815" w:name="_Toc6318"/>
      <w:bookmarkStart w:id="816" w:name="_Toc17866"/>
      <w:bookmarkStart w:id="817" w:name="_Toc48837335"/>
      <w:bookmarkStart w:id="818" w:name="_Toc21013"/>
      <w:bookmarkStart w:id="819" w:name="_Toc27019"/>
      <w:bookmarkStart w:id="820" w:name="_Toc8882"/>
      <w:bookmarkStart w:id="821" w:name="_Toc14898"/>
      <w:bookmarkStart w:id="822" w:name="_Toc14724"/>
      <w:bookmarkStart w:id="823" w:name="_Toc5162"/>
      <w:bookmarkStart w:id="824" w:name="_Toc31094"/>
      <w:bookmarkStart w:id="825" w:name="_Toc12560"/>
      <w:bookmarkStart w:id="826" w:name="_Toc32284"/>
      <w:bookmarkStart w:id="827" w:name="_Toc15183"/>
      <w:r>
        <w:rPr>
          <w:rFonts w:hint="eastAsia" w:ascii="方正仿宋_GBK" w:hAnsi="仿宋" w:eastAsia="仿宋" w:cs="仿宋"/>
          <w:color w:val="auto"/>
          <w:kern w:val="0"/>
          <w:szCs w:val="28"/>
          <w:highlight w:val="none"/>
        </w:rPr>
        <w:t>（二）</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文件第二篇所需方案或证明材料（如果有）</w:t>
      </w:r>
    </w:p>
    <w:p>
      <w:pPr>
        <w:spacing w:line="520" w:lineRule="exact"/>
        <w:ind w:firstLine="438" w:firstLineChars="200"/>
        <w:jc w:val="left"/>
        <w:rPr>
          <w:rFonts w:ascii="方正仿宋_GBK" w:hAnsi="仿宋" w:eastAsia="仿宋" w:cs="仿宋"/>
          <w:color w:val="auto"/>
          <w:kern w:val="0"/>
          <w:szCs w:val="28"/>
          <w:highlight w:val="none"/>
        </w:rPr>
      </w:pP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（三）</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文件第四篇评审标准“</w:t>
      </w:r>
      <w:r>
        <w:rPr>
          <w:rFonts w:hint="eastAsia" w:ascii="方正仿宋_GBK" w:hAnsi="仿宋" w:eastAsia="仿宋" w:cs="仿宋"/>
          <w:color w:val="auto"/>
          <w:kern w:val="0"/>
          <w:szCs w:val="28"/>
          <w:highlight w:val="none"/>
          <w:lang w:eastAsia="zh-CN"/>
        </w:rPr>
        <w:t>技术</w:t>
      </w:r>
      <w:r>
        <w:rPr>
          <w:rFonts w:hint="eastAsia" w:ascii="方正仿宋_GBK" w:hAnsi="仿宋" w:eastAsia="仿宋" w:cs="仿宋"/>
          <w:color w:val="auto"/>
          <w:kern w:val="0"/>
          <w:szCs w:val="28"/>
          <w:highlight w:val="none"/>
        </w:rPr>
        <w:t>部分”所要求的方案或证明材料</w:t>
      </w: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color w:val="auto"/>
          <w:highlight w:val="none"/>
        </w:rPr>
      </w:pPr>
      <w:r>
        <w:rPr>
          <w:rFonts w:hint="eastAsia" w:ascii="方正仿宋_GBK" w:hAnsi="仿宋" w:eastAsia="仿宋" w:cs="仿宋"/>
          <w:color w:val="auto"/>
          <w:kern w:val="0"/>
          <w:szCs w:val="28"/>
          <w:highlight w:val="none"/>
        </w:rPr>
        <w:t>（四）其他响应</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文件提供的服务文件</w:t>
      </w: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outlineLvl w:val="1"/>
        <w:rPr>
          <w:rFonts w:ascii="方正仿宋_GBK" w:hAnsi="仿宋" w:eastAsia="仿宋" w:cs="仿宋"/>
          <w:b/>
          <w:bCs/>
          <w:color w:val="auto"/>
          <w:kern w:val="0"/>
          <w:szCs w:val="28"/>
          <w:highlight w:val="none"/>
        </w:rPr>
      </w:pPr>
      <w:bookmarkStart w:id="828" w:name="_Toc7024"/>
      <w:bookmarkStart w:id="829" w:name="_Toc20599"/>
      <w:bookmarkStart w:id="830" w:name="_Toc20336"/>
      <w:bookmarkStart w:id="831" w:name="_Toc29386"/>
      <w:r>
        <w:rPr>
          <w:rFonts w:hint="eastAsia" w:ascii="方正仿宋_GBK" w:hAnsi="仿宋" w:eastAsia="仿宋" w:cs="仿宋"/>
          <w:b/>
          <w:bCs/>
          <w:color w:val="auto"/>
          <w:kern w:val="0"/>
          <w:szCs w:val="28"/>
          <w:highlight w:val="none"/>
        </w:rPr>
        <w:t>三、商务部分</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13"/>
        <w:spacing w:line="520" w:lineRule="exact"/>
        <w:ind w:firstLine="318" w:firstLineChars="200"/>
        <w:rPr>
          <w:rFonts w:ascii="仿宋" w:hAnsi="仿宋" w:eastAsia="仿宋"/>
          <w:color w:val="auto"/>
          <w:sz w:val="24"/>
          <w:szCs w:val="28"/>
          <w:highlight w:val="none"/>
        </w:rPr>
      </w:pPr>
      <w:r>
        <w:rPr>
          <w:rFonts w:hint="eastAsia" w:ascii="方正仿宋_GBK" w:hAnsi="仿宋" w:eastAsia="仿宋" w:cs="仿宋"/>
          <w:color w:val="auto"/>
          <w:kern w:val="0"/>
          <w:szCs w:val="28"/>
          <w:highlight w:val="none"/>
        </w:rPr>
        <w:t>（一）</w:t>
      </w:r>
      <w:r>
        <w:rPr>
          <w:rFonts w:hint="eastAsia" w:ascii="仿宋" w:hAnsi="仿宋" w:eastAsia="仿宋"/>
          <w:color w:val="auto"/>
          <w:sz w:val="24"/>
          <w:szCs w:val="28"/>
          <w:highlight w:val="none"/>
        </w:rPr>
        <w:t>商务响应差异表</w:t>
      </w:r>
    </w:p>
    <w:p>
      <w:pPr>
        <w:pStyle w:val="13"/>
        <w:spacing w:line="520" w:lineRule="exact"/>
        <w:jc w:val="center"/>
        <w:rPr>
          <w:rFonts w:ascii="仿宋" w:hAnsi="仿宋" w:eastAsia="仿宋"/>
          <w:b/>
          <w:bCs/>
          <w:color w:val="auto"/>
          <w:sz w:val="28"/>
          <w:szCs w:val="28"/>
          <w:highlight w:val="none"/>
        </w:rPr>
      </w:pPr>
      <w:bookmarkStart w:id="832" w:name="_Hlk84947424"/>
      <w:r>
        <w:rPr>
          <w:rFonts w:hint="eastAsia" w:ascii="仿宋" w:hAnsi="仿宋" w:eastAsia="仿宋"/>
          <w:b/>
          <w:bCs/>
          <w:color w:val="auto"/>
          <w:sz w:val="28"/>
          <w:szCs w:val="28"/>
          <w:highlight w:val="none"/>
        </w:rPr>
        <w:t>商务响应差异表</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项 目 号：</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项目名称：</w:t>
      </w:r>
    </w:p>
    <w:tbl>
      <w:tblPr>
        <w:tblStyle w:val="24"/>
        <w:tblW w:w="8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3216"/>
        <w:gridCol w:w="3217"/>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854" w:type="dxa"/>
            <w:vAlign w:val="center"/>
          </w:tcPr>
          <w:p>
            <w:pPr>
              <w:keepNext w:val="0"/>
              <w:keepLines w:val="0"/>
              <w:suppressLineNumbers w:val="0"/>
              <w:spacing w:before="0" w:beforeAutospacing="0" w:after="0" w:afterAutospacing="0" w:line="240" w:lineRule="atLeast"/>
              <w:ind w:left="0" w:right="0"/>
              <w:jc w:val="center"/>
              <w:rPr>
                <w:rFonts w:hint="default" w:ascii="仿宋" w:hAnsi="仿宋" w:eastAsia="仿宋"/>
                <w:b/>
                <w:color w:val="auto"/>
                <w:sz w:val="21"/>
                <w:szCs w:val="21"/>
                <w:highlight w:val="none"/>
              </w:rPr>
            </w:pPr>
            <w:r>
              <w:rPr>
                <w:rFonts w:hint="eastAsia" w:ascii="仿宋" w:hAnsi="仿宋" w:eastAsia="仿宋"/>
                <w:b/>
                <w:color w:val="auto"/>
                <w:sz w:val="21"/>
                <w:szCs w:val="21"/>
                <w:highlight w:val="none"/>
              </w:rPr>
              <w:t>序号</w:t>
            </w:r>
          </w:p>
        </w:tc>
        <w:tc>
          <w:tcPr>
            <w:tcW w:w="3216" w:type="dxa"/>
            <w:vAlign w:val="center"/>
          </w:tcPr>
          <w:p>
            <w:pPr>
              <w:keepNext w:val="0"/>
              <w:keepLines w:val="0"/>
              <w:suppressLineNumbers w:val="0"/>
              <w:spacing w:before="0" w:beforeAutospacing="0" w:after="0" w:afterAutospacing="0" w:line="240" w:lineRule="atLeast"/>
              <w:ind w:left="0" w:right="0"/>
              <w:jc w:val="center"/>
              <w:rPr>
                <w:rFonts w:hint="default" w:ascii="仿宋" w:hAnsi="仿宋" w:eastAsia="仿宋"/>
                <w:b/>
                <w:color w:val="auto"/>
                <w:sz w:val="21"/>
                <w:szCs w:val="21"/>
                <w:highlight w:val="none"/>
              </w:rPr>
            </w:pPr>
            <w:r>
              <w:rPr>
                <w:rFonts w:hint="eastAsia" w:ascii="仿宋" w:hAnsi="仿宋" w:eastAsia="仿宋"/>
                <w:b/>
                <w:color w:val="auto"/>
                <w:sz w:val="21"/>
                <w:szCs w:val="21"/>
                <w:highlight w:val="none"/>
              </w:rPr>
              <w:t>商务需求</w:t>
            </w:r>
          </w:p>
        </w:tc>
        <w:tc>
          <w:tcPr>
            <w:tcW w:w="3217" w:type="dxa"/>
            <w:vAlign w:val="center"/>
          </w:tcPr>
          <w:p>
            <w:pPr>
              <w:keepNext w:val="0"/>
              <w:keepLines w:val="0"/>
              <w:suppressLineNumbers w:val="0"/>
              <w:spacing w:before="0" w:beforeAutospacing="0" w:after="0" w:afterAutospacing="0" w:line="240" w:lineRule="atLeast"/>
              <w:ind w:left="0" w:right="0"/>
              <w:jc w:val="center"/>
              <w:rPr>
                <w:rFonts w:hint="default" w:ascii="仿宋" w:hAnsi="仿宋" w:eastAsia="仿宋"/>
                <w:b/>
                <w:color w:val="auto"/>
                <w:sz w:val="21"/>
                <w:szCs w:val="21"/>
                <w:highlight w:val="none"/>
              </w:rPr>
            </w:pPr>
            <w:r>
              <w:rPr>
                <w:rFonts w:hint="eastAsia" w:ascii="仿宋" w:hAnsi="仿宋" w:eastAsia="仿宋"/>
                <w:b/>
                <w:color w:val="auto"/>
                <w:sz w:val="21"/>
                <w:szCs w:val="21"/>
                <w:highlight w:val="none"/>
              </w:rPr>
              <w:t>商务应答</w:t>
            </w:r>
          </w:p>
        </w:tc>
        <w:tc>
          <w:tcPr>
            <w:tcW w:w="1314" w:type="dxa"/>
            <w:vAlign w:val="center"/>
          </w:tcPr>
          <w:p>
            <w:pPr>
              <w:keepNext w:val="0"/>
              <w:keepLines w:val="0"/>
              <w:suppressLineNumbers w:val="0"/>
              <w:spacing w:before="0" w:beforeAutospacing="0" w:after="0" w:afterAutospacing="0" w:line="240" w:lineRule="atLeast"/>
              <w:ind w:left="0" w:right="0"/>
              <w:jc w:val="center"/>
              <w:rPr>
                <w:rFonts w:hint="default" w:ascii="仿宋" w:hAnsi="仿宋" w:eastAsia="仿宋"/>
                <w:b/>
                <w:color w:val="auto"/>
                <w:sz w:val="21"/>
                <w:szCs w:val="21"/>
                <w:highlight w:val="none"/>
              </w:rPr>
            </w:pPr>
            <w:r>
              <w:rPr>
                <w:rFonts w:hint="eastAsia" w:ascii="仿宋" w:hAnsi="仿宋" w:eastAsia="仿宋"/>
                <w:b/>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r>
              <w:rPr>
                <w:rFonts w:hint="eastAsia" w:ascii="仿宋" w:hAnsi="仿宋" w:eastAsia="仿宋" w:cs="仿宋"/>
                <w:color w:val="auto"/>
                <w:sz w:val="21"/>
                <w:szCs w:val="21"/>
                <w:highlight w:val="none"/>
              </w:rPr>
              <w:t>提醒：请注明具体内容以及响应文件中具体内容的位置（页码）</w:t>
            </w: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bl>
    <w:p>
      <w:pPr>
        <w:pStyle w:val="13"/>
        <w:spacing w:line="520" w:lineRule="exact"/>
        <w:ind w:firstLine="438" w:firstLineChars="200"/>
        <w:rPr>
          <w:rFonts w:ascii="仿宋" w:hAnsi="仿宋" w:eastAsia="仿宋"/>
          <w:color w:val="auto"/>
          <w:sz w:val="24"/>
          <w:szCs w:val="28"/>
          <w:highlight w:val="none"/>
        </w:rPr>
      </w:pP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供应商：                       法定代表人（或法定代表人授权代表）或自然人：</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（供应商公章）</w:t>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（签署或盖章）</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 xml:space="preserve"> 年   月   日 </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注：</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 xml:space="preserve">1.本表即为对本项目“第三篇 </w:t>
      </w:r>
      <w:r>
        <w:rPr>
          <w:rFonts w:hint="eastAsia" w:ascii="仿宋" w:hAnsi="仿宋" w:eastAsia="仿宋"/>
          <w:color w:val="auto"/>
          <w:sz w:val="24"/>
          <w:szCs w:val="28"/>
          <w:highlight w:val="none"/>
          <w:lang w:eastAsia="zh-CN"/>
        </w:rPr>
        <w:t>采购</w:t>
      </w:r>
      <w:r>
        <w:rPr>
          <w:rFonts w:hint="eastAsia" w:ascii="仿宋" w:hAnsi="仿宋" w:eastAsia="仿宋"/>
          <w:color w:val="auto"/>
          <w:sz w:val="24"/>
          <w:szCs w:val="28"/>
          <w:highlight w:val="none"/>
        </w:rPr>
        <w:t>商务要求”中所列条款进行比较和响应；</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2.该表必须按照</w:t>
      </w:r>
      <w:r>
        <w:rPr>
          <w:rFonts w:hint="eastAsia" w:ascii="仿宋" w:hAnsi="仿宋" w:eastAsia="仿宋"/>
          <w:color w:val="auto"/>
          <w:sz w:val="24"/>
          <w:szCs w:val="28"/>
          <w:highlight w:val="none"/>
          <w:lang w:eastAsia="zh-CN"/>
        </w:rPr>
        <w:t>遴选</w:t>
      </w:r>
      <w:r>
        <w:rPr>
          <w:rFonts w:hint="eastAsia" w:ascii="仿宋" w:hAnsi="仿宋" w:eastAsia="仿宋"/>
          <w:color w:val="auto"/>
          <w:sz w:val="24"/>
          <w:szCs w:val="28"/>
          <w:highlight w:val="none"/>
        </w:rPr>
        <w:t>文件要求逐条如实填写，根据响应情况在“差异说明”项填写正偏离或负偏离及原因，完全符合的填写“无差异”；</w:t>
      </w:r>
    </w:p>
    <w:p>
      <w:pPr>
        <w:pStyle w:val="13"/>
        <w:spacing w:line="520" w:lineRule="exact"/>
        <w:ind w:firstLine="438" w:firstLineChars="200"/>
        <w:rPr>
          <w:rFonts w:ascii="方正仿宋_GBK" w:hAnsi="方正仿宋_GBK" w:eastAsia="仿宋" w:cs="方正仿宋_GBK"/>
          <w:color w:val="auto"/>
          <w:sz w:val="32"/>
          <w:szCs w:val="32"/>
          <w:highlight w:val="none"/>
        </w:rPr>
      </w:pPr>
      <w:r>
        <w:rPr>
          <w:rFonts w:hint="eastAsia" w:ascii="仿宋" w:hAnsi="仿宋" w:eastAsia="仿宋"/>
          <w:color w:val="auto"/>
          <w:sz w:val="24"/>
          <w:szCs w:val="28"/>
          <w:highlight w:val="none"/>
        </w:rPr>
        <w:t>3.该表可扩展。</w:t>
      </w:r>
      <w:bookmarkEnd w:id="832"/>
      <w:r>
        <w:rPr>
          <w:rFonts w:hint="eastAsia" w:ascii="仿宋" w:hAnsi="仿宋" w:eastAsia="仿宋"/>
          <w:color w:val="auto"/>
          <w:sz w:val="24"/>
          <w:szCs w:val="28"/>
          <w:highlight w:val="none"/>
        </w:rPr>
        <w:br w:type="page"/>
      </w:r>
      <w:bookmarkStart w:id="833" w:name="_Toc452628354"/>
      <w:bookmarkStart w:id="834" w:name="_Toc5897"/>
      <w:bookmarkStart w:id="835" w:name="_Toc15373"/>
    </w:p>
    <w:p>
      <w:pPr>
        <w:spacing w:line="520" w:lineRule="exact"/>
        <w:ind w:firstLine="438" w:firstLineChars="200"/>
        <w:jc w:val="left"/>
        <w:rPr>
          <w:rFonts w:ascii="方正仿宋_GBK" w:hAnsi="仿宋" w:eastAsia="仿宋" w:cs="仿宋"/>
          <w:color w:val="auto"/>
          <w:kern w:val="0"/>
          <w:szCs w:val="28"/>
          <w:highlight w:val="none"/>
        </w:rPr>
      </w:pPr>
      <w:bookmarkStart w:id="836" w:name="_Toc4344"/>
      <w:bookmarkStart w:id="837" w:name="_Toc32724"/>
      <w:bookmarkStart w:id="838" w:name="_Toc10702"/>
      <w:bookmarkStart w:id="839" w:name="_Toc19323"/>
      <w:bookmarkStart w:id="840" w:name="_Toc21604"/>
      <w:bookmarkStart w:id="841" w:name="_Toc21874"/>
      <w:bookmarkStart w:id="842" w:name="_Toc15642"/>
      <w:bookmarkStart w:id="843" w:name="_Toc26260"/>
      <w:bookmarkStart w:id="844" w:name="_Toc2377"/>
      <w:bookmarkStart w:id="845" w:name="_Toc27026"/>
      <w:bookmarkStart w:id="846" w:name="_Toc7089"/>
      <w:bookmarkStart w:id="847" w:name="_Toc12077"/>
      <w:bookmarkStart w:id="848" w:name="_Toc28744"/>
      <w:bookmarkStart w:id="849" w:name="_Toc32354"/>
      <w:bookmarkStart w:id="850" w:name="_Toc27078"/>
      <w:bookmarkStart w:id="851" w:name="_Toc7378"/>
      <w:bookmarkStart w:id="852" w:name="_Toc48837336"/>
      <w:bookmarkStart w:id="853" w:name="_Toc13377"/>
      <w:bookmarkStart w:id="854" w:name="_Toc28265"/>
      <w:bookmarkStart w:id="855" w:name="_Toc14442"/>
      <w:bookmarkStart w:id="856" w:name="_Toc19720"/>
      <w:bookmarkStart w:id="857" w:name="_Toc1566"/>
      <w:r>
        <w:rPr>
          <w:rFonts w:hint="eastAsia" w:ascii="方正仿宋_GBK" w:hAnsi="仿宋" w:eastAsia="仿宋" w:cs="仿宋"/>
          <w:color w:val="auto"/>
          <w:kern w:val="0"/>
          <w:szCs w:val="28"/>
          <w:highlight w:val="none"/>
        </w:rPr>
        <w:t>（二）</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文件第三篇所需证明材料（如果有）</w:t>
      </w:r>
    </w:p>
    <w:p>
      <w:pPr>
        <w:spacing w:line="520" w:lineRule="exact"/>
        <w:ind w:firstLine="438" w:firstLineChars="200"/>
        <w:jc w:val="left"/>
        <w:rPr>
          <w:rFonts w:ascii="方正仿宋_GBK" w:hAnsi="仿宋" w:eastAsia="仿宋" w:cs="仿宋"/>
          <w:color w:val="auto"/>
          <w:kern w:val="0"/>
          <w:szCs w:val="28"/>
          <w:highlight w:val="none"/>
        </w:rPr>
      </w:pP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（三）</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文件第四篇评审标准“商务部分”所要求的证明材料</w:t>
      </w:r>
    </w:p>
    <w:p>
      <w:pPr>
        <w:spacing w:line="520" w:lineRule="exact"/>
        <w:ind w:firstLine="438" w:firstLineChars="200"/>
        <w:jc w:val="left"/>
        <w:rPr>
          <w:rFonts w:ascii="方正仿宋_GBK" w:hAnsi="仿宋" w:eastAsia="仿宋" w:cs="仿宋"/>
          <w:color w:val="auto"/>
          <w:kern w:val="0"/>
          <w:szCs w:val="28"/>
          <w:highlight w:val="none"/>
        </w:rPr>
      </w:pP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（四）其他响应</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文件提供的商务文件</w:t>
      </w: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pStyle w:val="14"/>
        <w:rPr>
          <w:rFonts w:ascii="方正仿宋_GBK" w:hAnsi="仿宋" w:eastAsia="仿宋" w:cs="仿宋"/>
          <w:b/>
          <w:bCs/>
          <w:color w:val="auto"/>
          <w:kern w:val="0"/>
          <w:szCs w:val="28"/>
          <w:highlight w:val="none"/>
        </w:rPr>
      </w:pPr>
    </w:p>
    <w:p>
      <w:pPr>
        <w:pStyle w:val="14"/>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bookmarkEnd w:id="796"/>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Pr>
        <w:spacing w:line="520" w:lineRule="exact"/>
        <w:ind w:firstLine="438" w:firstLineChars="200"/>
        <w:jc w:val="left"/>
        <w:outlineLvl w:val="1"/>
        <w:rPr>
          <w:rFonts w:eastAsia="仿宋" w:cs="宋体"/>
          <w:b/>
          <w:bCs/>
          <w:color w:val="auto"/>
          <w:szCs w:val="28"/>
          <w:highlight w:val="none"/>
        </w:rPr>
      </w:pPr>
      <w:bookmarkStart w:id="858" w:name="_Toc20650"/>
      <w:bookmarkStart w:id="859" w:name="_Toc12867"/>
      <w:bookmarkStart w:id="860" w:name="_Toc1595"/>
      <w:bookmarkStart w:id="861" w:name="_Toc31891"/>
      <w:bookmarkStart w:id="862" w:name="_Toc2766"/>
      <w:bookmarkStart w:id="863" w:name="_Toc48837337"/>
      <w:bookmarkStart w:id="864" w:name="_Toc18123"/>
      <w:bookmarkStart w:id="865" w:name="_Toc14575"/>
      <w:bookmarkStart w:id="866" w:name="_Toc7106"/>
      <w:bookmarkStart w:id="867" w:name="_Toc31017"/>
      <w:bookmarkStart w:id="868" w:name="_Toc5958"/>
      <w:bookmarkStart w:id="869" w:name="_Toc31133"/>
      <w:bookmarkStart w:id="870" w:name="_Toc20178"/>
      <w:bookmarkStart w:id="871" w:name="_Toc17557"/>
      <w:bookmarkStart w:id="872" w:name="_Toc11151"/>
      <w:bookmarkStart w:id="873" w:name="_Toc23698"/>
      <w:bookmarkStart w:id="874" w:name="_Toc12843"/>
      <w:bookmarkStart w:id="875" w:name="_Toc31468"/>
      <w:bookmarkStart w:id="876" w:name="_Toc15684"/>
      <w:bookmarkStart w:id="877" w:name="_Toc2341"/>
      <w:bookmarkStart w:id="878" w:name="_Toc11174"/>
      <w:bookmarkStart w:id="879" w:name="_Toc19505"/>
      <w:bookmarkStart w:id="880" w:name="_Toc30432"/>
      <w:bookmarkStart w:id="881" w:name="_Toc32365"/>
      <w:bookmarkStart w:id="882" w:name="_Toc14854"/>
      <w:bookmarkStart w:id="883" w:name="_Toc32670"/>
      <w:bookmarkStart w:id="884" w:name="_Toc29856"/>
      <w:r>
        <w:rPr>
          <w:rFonts w:hint="eastAsia" w:eastAsia="仿宋" w:cs="宋体"/>
          <w:b/>
          <w:bCs/>
          <w:color w:val="auto"/>
          <w:szCs w:val="28"/>
          <w:highlight w:val="none"/>
        </w:rPr>
        <w:t>五、资格文件</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spacing w:line="520" w:lineRule="exact"/>
        <w:ind w:firstLine="438" w:firstLineChars="200"/>
        <w:jc w:val="left"/>
        <w:rPr>
          <w:rFonts w:ascii="方正仿宋_GBK" w:hAnsi="仿宋" w:eastAsia="仿宋" w:cs="仿宋"/>
          <w:color w:val="auto"/>
          <w:kern w:val="0"/>
          <w:szCs w:val="28"/>
          <w:highlight w:val="none"/>
        </w:rPr>
      </w:pPr>
    </w:p>
    <w:p>
      <w:pPr>
        <w:spacing w:line="520" w:lineRule="exact"/>
        <w:ind w:firstLine="438" w:firstLineChars="200"/>
        <w:jc w:val="left"/>
        <w:rPr>
          <w:rFonts w:ascii="宋体" w:hAnsi="宋体" w:eastAsia="仿宋"/>
          <w:bCs/>
          <w:color w:val="auto"/>
          <w:highlight w:val="none"/>
        </w:rPr>
      </w:pPr>
      <w:r>
        <w:rPr>
          <w:rFonts w:hint="eastAsia" w:ascii="方正仿宋_GBK" w:hAnsi="仿宋" w:eastAsia="仿宋" w:cs="仿宋"/>
          <w:color w:val="auto"/>
          <w:kern w:val="0"/>
          <w:szCs w:val="28"/>
          <w:highlight w:val="none"/>
        </w:rPr>
        <w:t>（一）</w:t>
      </w:r>
      <w:bookmarkStart w:id="885" w:name="_Hlk84948558"/>
      <w:r>
        <w:rPr>
          <w:rFonts w:hint="eastAsia" w:ascii="方正仿宋_GBK" w:hAnsi="仿宋" w:eastAsia="仿宋" w:cs="仿宋"/>
          <w:color w:val="auto"/>
          <w:kern w:val="0"/>
          <w:szCs w:val="28"/>
          <w:highlight w:val="none"/>
        </w:rPr>
        <w:t>法人营业执照（副本）或事业单位法人证书（副本）或个体工商户营业执照或有效的自然人身份证明或社会团体法人登记证书复印件</w:t>
      </w:r>
      <w:bookmarkEnd w:id="885"/>
      <w:r>
        <w:rPr>
          <w:rFonts w:ascii="宋体" w:hAnsi="宋体" w:eastAsia="仿宋"/>
          <w:bCs/>
          <w:color w:val="auto"/>
          <w:highlight w:val="none"/>
        </w:rPr>
        <w:br w:type="page"/>
      </w:r>
    </w:p>
    <w:p>
      <w:pPr>
        <w:jc w:val="center"/>
        <w:rPr>
          <w:rFonts w:hint="eastAsia" w:ascii="仿宋" w:hAnsi="仿宋" w:eastAsia="仿宋" w:cs="仿宋"/>
          <w:color w:val="auto"/>
          <w:sz w:val="28"/>
          <w:szCs w:val="28"/>
          <w:highlight w:val="none"/>
        </w:rPr>
      </w:pPr>
      <w:bookmarkStart w:id="886" w:name="_Hlk84948793"/>
      <w:bookmarkStart w:id="887" w:name="_Hlk84948823"/>
      <w:r>
        <w:rPr>
          <w:rFonts w:hint="eastAsia" w:ascii="仿宋" w:hAnsi="仿宋" w:eastAsia="仿宋" w:cs="仿宋"/>
          <w:color w:val="auto"/>
          <w:sz w:val="28"/>
          <w:szCs w:val="28"/>
          <w:highlight w:val="none"/>
        </w:rPr>
        <w:t>（二）法定代表人身份证明书（格式）</w:t>
      </w:r>
    </w:p>
    <w:p>
      <w:pPr>
        <w:ind w:firstLine="438"/>
        <w:rPr>
          <w:rFonts w:hint="eastAsia" w:ascii="仿宋" w:hAnsi="仿宋" w:eastAsia="仿宋" w:cs="仿宋"/>
          <w:color w:val="auto"/>
          <w:szCs w:val="22"/>
          <w:highlight w:val="none"/>
        </w:rPr>
      </w:pPr>
    </w:p>
    <w:p>
      <w:pPr>
        <w:spacing w:line="520" w:lineRule="exact"/>
        <w:ind w:firstLine="438" w:firstLineChars="200"/>
        <w:jc w:val="left"/>
        <w:rPr>
          <w:rFonts w:hint="eastAsia" w:ascii="方正仿宋_GBK" w:hAnsi="仿宋" w:eastAsia="仿宋" w:cs="仿宋"/>
          <w:color w:val="auto"/>
          <w:kern w:val="0"/>
          <w:szCs w:val="28"/>
          <w:highlight w:val="none"/>
          <w:u w:val="single"/>
        </w:rPr>
      </w:pPr>
      <w:r>
        <w:rPr>
          <w:rFonts w:hint="eastAsia" w:ascii="方正仿宋_GBK" w:hAnsi="仿宋" w:eastAsia="仿宋" w:cs="仿宋"/>
          <w:color w:val="auto"/>
          <w:kern w:val="0"/>
          <w:szCs w:val="28"/>
          <w:highlight w:val="none"/>
        </w:rPr>
        <w:t>项目名称：</w:t>
      </w:r>
      <w:r>
        <w:rPr>
          <w:rFonts w:hint="eastAsia" w:ascii="方正仿宋_GBK" w:hAnsi="仿宋" w:eastAsia="仿宋" w:cs="仿宋"/>
          <w:color w:val="auto"/>
          <w:kern w:val="0"/>
          <w:szCs w:val="28"/>
          <w:highlight w:val="none"/>
          <w:u w:val="single"/>
        </w:rPr>
        <w:t xml:space="preserve">                        </w:t>
      </w: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u w:val="single"/>
        </w:rPr>
      </w:pPr>
      <w:r>
        <w:rPr>
          <w:rFonts w:hint="eastAsia" w:ascii="方正仿宋_GBK" w:hAnsi="仿宋" w:eastAsia="仿宋" w:cs="仿宋"/>
          <w:color w:val="auto"/>
          <w:kern w:val="0"/>
          <w:szCs w:val="28"/>
          <w:highlight w:val="none"/>
        </w:rPr>
        <w:t>致：</w:t>
      </w: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（采购代理机构名称）</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（法定代表人姓名）在</w:t>
      </w: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（供应商名称）任</w:t>
      </w: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（职务名称）职务，是</w:t>
      </w: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（供应商名称）的法定代表人。</w:t>
      </w: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特此证明。</w:t>
      </w: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5475" w:firstLineChars="25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（供应商公章）</w:t>
      </w:r>
    </w:p>
    <w:p>
      <w:pPr>
        <w:spacing w:line="520" w:lineRule="exact"/>
        <w:ind w:firstLine="5585" w:firstLineChars="255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 xml:space="preserve">年   月   日 </w:t>
      </w: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bookmarkStart w:id="888" w:name="_Hlk84948705"/>
      <w:r>
        <w:rPr>
          <w:rFonts w:hint="eastAsia" w:ascii="方正仿宋_GBK" w:hAnsi="仿宋" w:eastAsia="仿宋" w:cs="仿宋"/>
          <w:color w:val="auto"/>
          <w:kern w:val="0"/>
          <w:szCs w:val="28"/>
          <w:highlight w:val="none"/>
        </w:rPr>
        <w:t>法定代表人电话：XXXXXXX      电子邮箱：XXXXXX@XXXXX（若授权他人办理并签署响应文件的可不填写）</w:t>
      </w:r>
      <w:bookmarkEnd w:id="888"/>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（附：法定代表人身份证</w:t>
      </w:r>
      <w:r>
        <w:rPr>
          <w:rFonts w:hint="eastAsia" w:ascii="方正仿宋_GBK" w:hAnsi="仿宋" w:eastAsia="方正仿宋_GBK"/>
          <w:sz w:val="24"/>
          <w:highlight w:val="none"/>
        </w:rPr>
        <w:t>正反面</w:t>
      </w:r>
      <w:r>
        <w:rPr>
          <w:rFonts w:hint="eastAsia" w:ascii="方正仿宋_GBK" w:hAnsi="仿宋" w:eastAsia="仿宋" w:cs="仿宋"/>
          <w:color w:val="auto"/>
          <w:kern w:val="0"/>
          <w:szCs w:val="28"/>
          <w:highlight w:val="none"/>
        </w:rPr>
        <w:t>复印件）</w:t>
      </w: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br w:type="page"/>
      </w:r>
    </w:p>
    <w:bookmarkEnd w:id="886"/>
    <w:bookmarkEnd w:id="887"/>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（三）法定代表人授权委托书（格式）</w:t>
      </w: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u w:val="single"/>
        </w:rPr>
      </w:pPr>
      <w:r>
        <w:rPr>
          <w:rFonts w:hint="eastAsia" w:ascii="方正仿宋_GBK" w:hAnsi="仿宋" w:eastAsia="仿宋" w:cs="仿宋"/>
          <w:color w:val="auto"/>
          <w:kern w:val="0"/>
          <w:szCs w:val="28"/>
          <w:highlight w:val="none"/>
        </w:rPr>
        <w:t>项目名称：</w:t>
      </w:r>
      <w:r>
        <w:rPr>
          <w:rFonts w:hint="eastAsia" w:ascii="方正仿宋_GBK" w:hAnsi="仿宋" w:eastAsia="仿宋" w:cs="仿宋"/>
          <w:color w:val="auto"/>
          <w:kern w:val="0"/>
          <w:szCs w:val="28"/>
          <w:highlight w:val="none"/>
          <w:u w:val="single"/>
        </w:rPr>
        <w:t xml:space="preserve">                        </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致：</w:t>
      </w: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（采购代理机构名称）</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（供应商法定代表人名称）是</w:t>
      </w: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（供应商名称）的法定代表人，特授权</w:t>
      </w: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（被授权人姓名及身份证代码）代表我单位全权办理上述项目的响应、谈判、签约等具体工作，并签署全部有关文件、协议及合同。</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我单位对被授权人的签署负全部责任。</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在撤消授权的书面通知以前，本授权书一直有效。被授权人在授权书有效期内签署的所有文件不因授权的撤消而失效。</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被授权人：</w:t>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供应商法定代表人：</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（签署或盖章）</w:t>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 xml:space="preserve">  （签署或盖章）</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 xml:space="preserve">  （供应商公章） </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 xml:space="preserve">   年   月   日 </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（附：</w:t>
      </w:r>
      <w:bookmarkStart w:id="889" w:name="_Hlk69975477"/>
      <w:r>
        <w:rPr>
          <w:rFonts w:hint="eastAsia" w:ascii="方正仿宋_GBK" w:hAnsi="仿宋" w:eastAsia="仿宋" w:cs="仿宋"/>
          <w:color w:val="auto"/>
          <w:kern w:val="0"/>
          <w:szCs w:val="28"/>
          <w:highlight w:val="none"/>
        </w:rPr>
        <w:t>被授权人</w:t>
      </w:r>
      <w:bookmarkEnd w:id="889"/>
      <w:r>
        <w:rPr>
          <w:rFonts w:hint="eastAsia" w:ascii="方正仿宋_GBK" w:hAnsi="仿宋" w:eastAsia="仿宋" w:cs="仿宋"/>
          <w:color w:val="auto"/>
          <w:kern w:val="0"/>
          <w:szCs w:val="28"/>
          <w:highlight w:val="none"/>
        </w:rPr>
        <w:t>身份证</w:t>
      </w:r>
      <w:r>
        <w:rPr>
          <w:rFonts w:hint="eastAsia" w:ascii="方正仿宋_GBK" w:hAnsi="仿宋" w:eastAsia="方正仿宋_GBK"/>
          <w:sz w:val="24"/>
          <w:highlight w:val="none"/>
        </w:rPr>
        <w:t>正反面</w:t>
      </w:r>
      <w:r>
        <w:rPr>
          <w:rFonts w:hint="eastAsia" w:ascii="方正仿宋_GBK" w:hAnsi="仿宋" w:eastAsia="仿宋" w:cs="仿宋"/>
          <w:color w:val="auto"/>
          <w:kern w:val="0"/>
          <w:szCs w:val="28"/>
          <w:highlight w:val="none"/>
        </w:rPr>
        <w:t>复印件）</w:t>
      </w: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被授权人电话：XXXXXXX     电子邮箱：XXXXXX@XXXXX（若法定代表人办理并签署响应文件的可不填写）</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注：</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1.若为法定代表人办理并签署响应文件的，不提供此文件。</w:t>
      </w:r>
    </w:p>
    <w:p>
      <w:pPr>
        <w:tabs>
          <w:tab w:val="left" w:pos="6300"/>
        </w:tabs>
        <w:snapToGrid w:val="0"/>
        <w:spacing w:line="500" w:lineRule="exact"/>
        <w:ind w:firstLine="438" w:firstLineChars="200"/>
        <w:rPr>
          <w:rFonts w:hint="eastAsia" w:ascii="方正仿宋_GBK" w:hAnsi="宋体" w:eastAsia="方正仿宋_GBK"/>
          <w:color w:val="auto"/>
          <w:sz w:val="24"/>
          <w:szCs w:val="24"/>
          <w:highlight w:val="none"/>
        </w:rPr>
      </w:pPr>
      <w:r>
        <w:rPr>
          <w:rFonts w:hint="eastAsia" w:ascii="方正仿宋_GBK" w:hAnsi="仿宋" w:eastAsia="仿宋" w:cs="仿宋"/>
          <w:color w:val="auto"/>
          <w:kern w:val="0"/>
          <w:szCs w:val="28"/>
          <w:highlight w:val="none"/>
        </w:rPr>
        <w:t>2.若为联合体的，法定代表人授权委托书由联合体主办方（主体）出具。</w:t>
      </w:r>
      <w:r>
        <w:rPr>
          <w:rFonts w:hint="eastAsia" w:ascii="方正仿宋_GBK" w:hAnsi="仿宋" w:eastAsia="仿宋" w:cs="仿宋"/>
          <w:color w:val="auto"/>
          <w:kern w:val="0"/>
          <w:szCs w:val="28"/>
          <w:highlight w:val="none"/>
        </w:rPr>
        <w:br w:type="column"/>
      </w:r>
      <w:r>
        <w:rPr>
          <w:rFonts w:hint="eastAsia" w:ascii="仿宋" w:hAnsi="仿宋" w:eastAsia="仿宋" w:cs="仿宋"/>
          <w:color w:val="auto"/>
          <w:szCs w:val="24"/>
          <w:highlight w:val="none"/>
        </w:rPr>
        <w:t>（四）基本资格条件承诺函</w:t>
      </w:r>
    </w:p>
    <w:p>
      <w:pPr>
        <w:tabs>
          <w:tab w:val="left" w:pos="6300"/>
        </w:tabs>
        <w:snapToGrid w:val="0"/>
        <w:spacing w:line="500" w:lineRule="exact"/>
        <w:ind w:firstLine="598" w:firstLineChars="200"/>
        <w:jc w:val="center"/>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基本资格条件承诺函</w:t>
      </w:r>
    </w:p>
    <w:p>
      <w:pPr>
        <w:tabs>
          <w:tab w:val="left" w:pos="6300"/>
        </w:tabs>
        <w:snapToGrid w:val="0"/>
        <w:spacing w:line="530" w:lineRule="exact"/>
        <w:rPr>
          <w:color w:val="auto"/>
          <w:sz w:val="24"/>
          <w:highlight w:val="none"/>
        </w:rPr>
      </w:pPr>
    </w:p>
    <w:p>
      <w:pPr>
        <w:spacing w:line="520" w:lineRule="exact"/>
        <w:ind w:firstLine="438"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致 </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（采购代理机构名称）：</w:t>
      </w:r>
    </w:p>
    <w:p>
      <w:pPr>
        <w:spacing w:line="520" w:lineRule="exact"/>
        <w:ind w:firstLine="438"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（供应商名称）郑重承诺：</w:t>
      </w:r>
    </w:p>
    <w:p>
      <w:pPr>
        <w:spacing w:line="520" w:lineRule="exact"/>
        <w:ind w:firstLine="438"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1.我方具有良好的商业信誉和健全的财务会计制度，具有履行合同所必需的设备和专业技术能力，具</w:t>
      </w:r>
      <w:r>
        <w:rPr>
          <w:rFonts w:hint="eastAsia" w:ascii="仿宋" w:hAnsi="仿宋" w:eastAsia="仿宋" w:cs="仿宋"/>
          <w:color w:val="auto"/>
          <w:szCs w:val="24"/>
          <w:highlight w:val="none"/>
          <w:lang w:val="zh-CN"/>
        </w:rPr>
        <w:t>有依法缴纳税收和社会保障金的良好记录</w:t>
      </w:r>
      <w:r>
        <w:rPr>
          <w:rFonts w:hint="eastAsia" w:ascii="仿宋" w:hAnsi="仿宋" w:eastAsia="仿宋" w:cs="仿宋"/>
          <w:color w:val="auto"/>
          <w:szCs w:val="24"/>
          <w:highlight w:val="none"/>
        </w:rPr>
        <w:t>，参加本项目采购活动前三年内无重大违法活动记录。</w:t>
      </w:r>
    </w:p>
    <w:p>
      <w:pPr>
        <w:spacing w:line="520" w:lineRule="exact"/>
        <w:ind w:firstLine="438"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2.我方未列入在信用中国网站（www.creditchina.gov.cn）“失信被执行人”、“重大税收违法案件当事人名单”中，也未列入中国政府采购网（www.ccgp.gov.cn）“政府采购严重违法失信行为记录名单”中。</w:t>
      </w:r>
    </w:p>
    <w:p>
      <w:pPr>
        <w:spacing w:line="520" w:lineRule="exact"/>
        <w:ind w:firstLine="438"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3.我方在采购项目评审（评标）环节结束后，随时接受采购人、采购代理机构的检查验证，配合提供相关证明材料，证明符合《中华人民共和国政府采购法》规定的供应商基本资格条件。</w:t>
      </w:r>
    </w:p>
    <w:p>
      <w:pPr>
        <w:spacing w:line="520" w:lineRule="exact"/>
        <w:ind w:firstLine="438"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我方对以上承诺负全部法律责任。</w:t>
      </w:r>
    </w:p>
    <w:p>
      <w:pPr>
        <w:spacing w:line="520" w:lineRule="exact"/>
        <w:ind w:firstLine="438"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特此承诺。</w:t>
      </w:r>
    </w:p>
    <w:p>
      <w:pPr>
        <w:spacing w:line="520" w:lineRule="exact"/>
        <w:ind w:firstLine="438" w:firstLineChars="200"/>
        <w:rPr>
          <w:rFonts w:hint="eastAsia" w:ascii="仿宋" w:hAnsi="仿宋" w:eastAsia="仿宋" w:cs="仿宋"/>
          <w:color w:val="auto"/>
          <w:szCs w:val="24"/>
          <w:highlight w:val="none"/>
        </w:rPr>
      </w:pPr>
    </w:p>
    <w:p>
      <w:pPr>
        <w:spacing w:line="520" w:lineRule="exact"/>
        <w:ind w:firstLine="438" w:firstLineChars="200"/>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 xml:space="preserve">                                        </w:t>
      </w:r>
      <w:r>
        <w:rPr>
          <w:rFonts w:hint="eastAsia" w:ascii="仿宋" w:hAnsi="仿宋" w:eastAsia="仿宋" w:cs="仿宋"/>
          <w:color w:val="auto"/>
          <w:szCs w:val="24"/>
          <w:highlight w:val="none"/>
        </w:rPr>
        <w:t>（供应商公章）</w:t>
      </w:r>
    </w:p>
    <w:p>
      <w:pPr>
        <w:spacing w:line="520" w:lineRule="exact"/>
        <w:jc w:val="both"/>
        <w:rPr>
          <w:rFonts w:hint="eastAsia" w:ascii="仿宋" w:hAnsi="仿宋" w:eastAsia="仿宋" w:cs="仿宋"/>
          <w:color w:val="auto"/>
          <w:szCs w:val="24"/>
          <w:highlight w:val="none"/>
        </w:rPr>
      </w:pPr>
    </w:p>
    <w:p>
      <w:pPr>
        <w:spacing w:line="520" w:lineRule="exact"/>
        <w:ind w:firstLine="6570" w:firstLineChars="3000"/>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年   月   日</w:t>
      </w:r>
    </w:p>
    <w:p>
      <w:pPr>
        <w:spacing w:line="520" w:lineRule="exact"/>
        <w:ind w:firstLine="6570" w:firstLineChars="3000"/>
        <w:rPr>
          <w:rFonts w:ascii="仿宋" w:hAnsi="仿宋" w:eastAsia="仿宋" w:cs="仿宋"/>
          <w:color w:val="auto"/>
          <w:szCs w:val="24"/>
          <w:highlight w:val="none"/>
        </w:rPr>
      </w:pPr>
    </w:p>
    <w:p>
      <w:pPr>
        <w:spacing w:line="520" w:lineRule="exact"/>
        <w:ind w:firstLine="438" w:firstLineChars="200"/>
        <w:jc w:val="right"/>
        <w:rPr>
          <w:rFonts w:hint="eastAsia"/>
          <w:color w:val="auto"/>
          <w:highlight w:val="none"/>
        </w:rPr>
      </w:pPr>
      <w:r>
        <w:rPr>
          <w:rFonts w:hint="eastAsia" w:ascii="仿宋" w:hAnsi="仿宋" w:eastAsia="仿宋" w:cs="仿宋"/>
          <w:color w:val="auto"/>
          <w:szCs w:val="24"/>
          <w:highlight w:val="none"/>
        </w:rPr>
        <w:br w:type="page"/>
      </w:r>
      <w:bookmarkStart w:id="890" w:name="_Hlk84948932"/>
    </w:p>
    <w:p>
      <w:pPr>
        <w:keepNext w:val="0"/>
        <w:keepLines w:val="0"/>
        <w:pageBreakBefore w:val="0"/>
        <w:widowControl w:val="0"/>
        <w:numPr>
          <w:ilvl w:val="0"/>
          <w:numId w:val="0"/>
        </w:numPr>
        <w:tabs>
          <w:tab w:val="left" w:pos="6300"/>
        </w:tabs>
        <w:kinsoku/>
        <w:wordWrap/>
        <w:overflowPunct/>
        <w:topLinePunct w:val="0"/>
        <w:autoSpaceDE/>
        <w:autoSpaceDN/>
        <w:bidi w:val="0"/>
        <w:adjustRightInd/>
        <w:snapToGrid w:val="0"/>
        <w:spacing w:line="520" w:lineRule="exact"/>
        <w:ind w:firstLine="438" w:firstLineChars="200"/>
        <w:jc w:val="left"/>
        <w:textAlignment w:val="auto"/>
        <w:outlineLvl w:val="9"/>
        <w:rPr>
          <w:rFonts w:hint="eastAsia" w:eastAsia="方正仿宋_GBK"/>
          <w:color w:val="auto"/>
          <w:highlight w:val="none"/>
          <w:lang w:eastAsia="zh-CN"/>
        </w:rPr>
      </w:pPr>
      <w:r>
        <w:rPr>
          <w:rFonts w:hint="eastAsia"/>
          <w:color w:val="auto"/>
          <w:highlight w:val="none"/>
        </w:rPr>
        <w:t>（</w:t>
      </w:r>
      <w:r>
        <w:rPr>
          <w:rFonts w:hint="eastAsia"/>
          <w:color w:val="auto"/>
          <w:highlight w:val="none"/>
          <w:lang w:eastAsia="zh-CN"/>
        </w:rPr>
        <w:t>五</w:t>
      </w:r>
      <w:r>
        <w:rPr>
          <w:rFonts w:hint="eastAsia"/>
          <w:color w:val="auto"/>
          <w:highlight w:val="none"/>
        </w:rPr>
        <w:t>）特定资格条件证书或证明文件</w:t>
      </w:r>
    </w:p>
    <w:p>
      <w:pPr>
        <w:pStyle w:val="22"/>
        <w:rPr>
          <w:rFonts w:hint="eastAsia"/>
          <w:color w:val="auto"/>
          <w:highlight w:val="none"/>
        </w:rPr>
      </w:pPr>
    </w:p>
    <w:bookmarkEnd w:id="890"/>
    <w:p>
      <w:pPr>
        <w:tabs>
          <w:tab w:val="left" w:pos="6300"/>
        </w:tabs>
        <w:snapToGrid w:val="0"/>
        <w:spacing w:line="520" w:lineRule="exact"/>
        <w:ind w:firstLine="438" w:firstLineChars="200"/>
        <w:jc w:val="left"/>
        <w:rPr>
          <w:rFonts w:hint="eastAsia" w:ascii="方正仿宋_GBK" w:hAnsi="仿宋" w:eastAsia="仿宋" w:cs="仿宋"/>
          <w:color w:val="auto"/>
          <w:kern w:val="0"/>
          <w:szCs w:val="28"/>
          <w:highlight w:val="none"/>
        </w:rPr>
      </w:pPr>
    </w:p>
    <w:p>
      <w:pPr>
        <w:tabs>
          <w:tab w:val="left" w:pos="6300"/>
        </w:tabs>
        <w:snapToGrid w:val="0"/>
        <w:spacing w:line="520" w:lineRule="exact"/>
        <w:ind w:firstLine="438" w:firstLineChars="200"/>
        <w:jc w:val="left"/>
        <w:rPr>
          <w:rFonts w:hint="eastAsia" w:ascii="方正仿宋_GBK" w:hAnsi="仿宋" w:eastAsia="仿宋" w:cs="仿宋"/>
          <w:color w:val="auto"/>
          <w:kern w:val="0"/>
          <w:szCs w:val="28"/>
          <w:highlight w:val="none"/>
        </w:rPr>
      </w:pPr>
    </w:p>
    <w:p>
      <w:pPr>
        <w:tabs>
          <w:tab w:val="left" w:pos="6300"/>
        </w:tabs>
        <w:snapToGrid w:val="0"/>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说明：供应商按“多证合一”登记制度办理营业执照的，税务登记证（副本）和社会保险登记证以供应商所提供的法人营业执照（副本）复印件为准。</w:t>
      </w:r>
    </w:p>
    <w:p>
      <w:pPr>
        <w:tabs>
          <w:tab w:val="left" w:pos="6300"/>
        </w:tabs>
        <w:snapToGrid w:val="0"/>
        <w:spacing w:line="520" w:lineRule="exact"/>
        <w:ind w:firstLine="438" w:firstLineChars="200"/>
        <w:jc w:val="left"/>
        <w:rPr>
          <w:rFonts w:ascii="方正仿宋_GBK" w:hAnsi="仿宋" w:eastAsia="仿宋" w:cs="仿宋"/>
          <w:color w:val="auto"/>
          <w:kern w:val="0"/>
          <w:szCs w:val="28"/>
          <w:highlight w:val="none"/>
        </w:rPr>
      </w:pPr>
    </w:p>
    <w:p>
      <w:pPr>
        <w:tabs>
          <w:tab w:val="left" w:pos="6300"/>
        </w:tabs>
        <w:snapToGrid w:val="0"/>
        <w:spacing w:line="520" w:lineRule="exact"/>
        <w:jc w:val="both"/>
        <w:rPr>
          <w:rFonts w:eastAsia="仿宋"/>
          <w:color w:val="auto"/>
          <w:highlight w:val="none"/>
        </w:rPr>
      </w:pPr>
    </w:p>
    <w:sectPr>
      <w:pgSz w:w="11907" w:h="16840"/>
      <w:pgMar w:top="1134" w:right="1191" w:bottom="1134" w:left="1304" w:header="794" w:footer="992" w:gutter="0"/>
      <w:pgBorders>
        <w:top w:val="none" w:sz="0" w:space="0"/>
        <w:left w:val="none" w:sz="0" w:space="0"/>
        <w:bottom w:val="none" w:sz="0" w:space="0"/>
        <w:right w:val="none" w:sz="0" w:space="0"/>
      </w:pgBorders>
      <w:pgNumType w:fmt="decimal"/>
      <w:cols w:space="720" w:num="1"/>
      <w:docGrid w:type="linesAndChars" w:linePitch="393" w:charSpace="-4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Style w:val="28"/>
        <w:rFonts w:eastAsia="仿宋"/>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方正仿宋_GBK"/>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L7K3n/gAQAAuQMAAA4AAAAA&#10;AAAAAQAgAAAAHgEAAGRycy9lMm9Eb2MueG1sUEsFBgAAAAAGAAYAWQEAAHAFAAAAAA==&#10;">
              <v:fill on="f" focussize="0,0"/>
              <v:stroke on="f"/>
              <v:imagedata o:title=""/>
              <o:lock v:ext="edit" aspectratio="f"/>
              <v:textbox inset="0mm,0mm,0mm,0mm" style="mso-fit-shape-to-text:t;">
                <w:txbxContent>
                  <w:p>
                    <w:pPr>
                      <w:snapToGrid w:val="0"/>
                      <w:rPr>
                        <w:rFonts w:hint="eastAsia" w:eastAsia="方正仿宋_GBK"/>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p>
    <w:pPr>
      <w:pStyle w:val="14"/>
      <w:ind w:right="360"/>
      <w:rPr>
        <w:rFonts w:eastAsia="仿宋"/>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3"/>
      <w:rPr>
        <w:rFonts w:eastAsia="仿宋"/>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eastAsia="仿宋"/>
                              <w:sz w:val="18"/>
                            </w:rPr>
                          </w:pPr>
                          <w:r>
                            <w:rPr>
                              <w:rFonts w:hint="eastAsia" w:eastAsia="仿宋"/>
                              <w:sz w:val="18"/>
                            </w:rPr>
                            <w:fldChar w:fldCharType="begin"/>
                          </w:r>
                          <w:r>
                            <w:rPr>
                              <w:rFonts w:hint="eastAsia" w:eastAsia="仿宋"/>
                              <w:sz w:val="18"/>
                            </w:rPr>
                            <w:instrText xml:space="preserve"> PAGE  \* MERGEFORMAT </w:instrText>
                          </w:r>
                          <w:r>
                            <w:rPr>
                              <w:rFonts w:hint="eastAsia" w:eastAsia="仿宋"/>
                              <w:sz w:val="18"/>
                            </w:rPr>
                            <w:fldChar w:fldCharType="separate"/>
                          </w:r>
                          <w:r>
                            <w:rPr>
                              <w:rFonts w:eastAsia="仿宋"/>
                              <w:sz w:val="18"/>
                            </w:rPr>
                            <w:t>4</w:t>
                          </w:r>
                          <w:r>
                            <w:rPr>
                              <w:rFonts w:hint="eastAsia" w:eastAsia="仿宋"/>
                              <w:sz w:val="18"/>
                            </w:rP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iMHh80BAACoAwAADgAAAGRycy9lMm9Eb2MueG1srVPNjtMwEL4j8Q6W&#10;7zRph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zlzwtKDX75/u/z4dfn5lS1X&#10;SZ8+YEVlD4EK43DnB9qaOY4UTLSHFmz6EiFGeVL3fFVXDZHJdGm9Wq9LSknKzQ7hF4/XA2B8q7xl&#10;yag50PNlVcXpPcaxdC5J3Zy/18bkJzTurwBhjhGVd2C6nZiMEycrDvthorf3zZnY9bQHNXe09pyZ&#10;d45kTiszGzAb+9k4BtCHLu9U6o7h9hhppDxp6jDCEsPk0ANmrtOypQ35089Vjz/Y9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KiMHh80BAACoAwAADgAAAAAAAAABACAAAAAeAQAAZHJzL2Uy&#10;b0RvYy54bWxQSwUGAAAAAAYABgBZAQAAXQUAAAAA&#10;">
              <v:fill on="f" focussize="0,0"/>
              <v:stroke on="f"/>
              <v:imagedata o:title=""/>
              <o:lock v:ext="edit" aspectratio="f"/>
              <v:textbox inset="0mm,0mm,0mm,0mm" style="mso-fit-shape-to-text:t;">
                <w:txbxContent>
                  <w:p>
                    <w:pPr>
                      <w:snapToGrid w:val="0"/>
                      <w:rPr>
                        <w:rFonts w:eastAsia="仿宋"/>
                        <w:sz w:val="18"/>
                      </w:rPr>
                    </w:pPr>
                    <w:r>
                      <w:rPr>
                        <w:rFonts w:hint="eastAsia" w:eastAsia="仿宋"/>
                        <w:sz w:val="18"/>
                      </w:rPr>
                      <w:fldChar w:fldCharType="begin"/>
                    </w:r>
                    <w:r>
                      <w:rPr>
                        <w:rFonts w:hint="eastAsia" w:eastAsia="仿宋"/>
                        <w:sz w:val="18"/>
                      </w:rPr>
                      <w:instrText xml:space="preserve"> PAGE  \* MERGEFORMAT </w:instrText>
                    </w:r>
                    <w:r>
                      <w:rPr>
                        <w:rFonts w:hint="eastAsia" w:eastAsia="仿宋"/>
                        <w:sz w:val="18"/>
                      </w:rPr>
                      <w:fldChar w:fldCharType="separate"/>
                    </w:r>
                    <w:r>
                      <w:rPr>
                        <w:rFonts w:eastAsia="仿宋"/>
                        <w:sz w:val="18"/>
                      </w:rPr>
                      <w:t>4</w:t>
                    </w:r>
                    <w:r>
                      <w:rPr>
                        <w:rFonts w:hint="eastAsia" w:eastAsia="仿宋"/>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zYSmT80BAACoAwAADgAAAAAAAAABACAAAAAeAQAAZHJzL2Uy&#10;b0RvYy54bWxQSwUGAAAAAAYABgBZAQAAXQU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ascii="方正仿宋_GBK" w:hAnsi="方正仿宋_GBK" w:eastAsia="仿宋" w:cs="方正仿宋_GBK"/>
        <w:sz w:val="21"/>
        <w:szCs w:val="21"/>
      </w:rPr>
    </w:pPr>
    <w:r>
      <w:rPr>
        <w:rFonts w:hint="eastAsia" w:ascii="方正仿宋_GBK" w:hAnsi="方正仿宋_GBK" w:eastAsia="仿宋" w:cs="方正仿宋_GBK"/>
        <w:sz w:val="21"/>
        <w:szCs w:val="21"/>
      </w:rPr>
      <w:t>重庆市巴南区</w:t>
    </w:r>
    <w:r>
      <w:rPr>
        <w:rFonts w:hint="eastAsia" w:ascii="方正仿宋_GBK" w:hAnsi="方正仿宋_GBK" w:eastAsia="仿宋" w:cs="方正仿宋_GBK"/>
        <w:sz w:val="21"/>
        <w:szCs w:val="21"/>
        <w:lang w:eastAsia="zh-CN"/>
      </w:rPr>
      <w:t>第二人民医院</w:t>
    </w:r>
    <w:r>
      <w:rPr>
        <w:rFonts w:hint="eastAsia" w:ascii="方正仿宋_GBK" w:hAnsi="方正仿宋_GBK" w:eastAsia="仿宋" w:cs="方正仿宋_GBK"/>
        <w:sz w:val="21"/>
        <w:szCs w:val="21"/>
      </w:rPr>
      <w:t xml:space="preserve">                                                  </w:t>
    </w:r>
    <w:r>
      <w:rPr>
        <w:rFonts w:hint="eastAsia" w:ascii="方正仿宋_GBK" w:hAnsi="方正仿宋_GBK" w:eastAsia="仿宋" w:cs="方正仿宋_GBK"/>
        <w:sz w:val="21"/>
        <w:szCs w:val="21"/>
        <w:lang w:eastAsia="zh-CN"/>
      </w:rPr>
      <w:t>遴选</w:t>
    </w:r>
    <w:r>
      <w:rPr>
        <w:rFonts w:hint="eastAsia" w:ascii="方正仿宋_GBK" w:hAnsi="方正仿宋_GBK" w:eastAsia="仿宋" w:cs="方正仿宋_GBK"/>
        <w:sz w:val="21"/>
        <w:szCs w:val="21"/>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105" w:firstLineChars="50"/>
      <w:jc w:val="both"/>
      <w:rPr>
        <w:rFonts w:ascii="仿宋" w:hAnsi="仿宋" w:eastAsia="仿宋" w:cs="仿宋"/>
      </w:rPr>
    </w:pPr>
    <w:r>
      <w:rPr>
        <w:rFonts w:hint="eastAsia" w:ascii="仿宋" w:hAnsi="仿宋" w:eastAsia="仿宋" w:cs="仿宋"/>
        <w:sz w:val="21"/>
        <w:szCs w:val="21"/>
      </w:rPr>
      <w:t>重庆市巴南区</w:t>
    </w:r>
    <w:r>
      <w:rPr>
        <w:rFonts w:hint="eastAsia" w:ascii="仿宋" w:hAnsi="仿宋" w:eastAsia="仿宋" w:cs="仿宋"/>
        <w:sz w:val="21"/>
        <w:szCs w:val="21"/>
        <w:lang w:eastAsia="zh-CN"/>
      </w:rPr>
      <w:t>第二人民医院</w:t>
    </w:r>
    <w:r>
      <w:rPr>
        <w:rFonts w:hint="eastAsia" w:ascii="仿宋" w:hAnsi="仿宋" w:eastAsia="仿宋" w:cs="仿宋"/>
        <w:sz w:val="21"/>
        <w:szCs w:val="21"/>
      </w:rPr>
      <w:t xml:space="preserve">                                                 </w:t>
    </w:r>
    <w:r>
      <w:rPr>
        <w:rFonts w:hint="eastAsia" w:ascii="方正仿宋_GBK" w:hAnsi="方正仿宋_GBK" w:eastAsia="仿宋" w:cs="方正仿宋_GBK"/>
        <w:sz w:val="21"/>
        <w:szCs w:val="21"/>
        <w:lang w:eastAsia="zh-CN"/>
      </w:rPr>
      <w:t>遴选</w:t>
    </w:r>
    <w:r>
      <w:rPr>
        <w:rFonts w:hint="eastAsia" w:ascii="方正仿宋_GBK" w:hAnsi="方正仿宋_GBK" w:eastAsia="仿宋" w:cs="方正仿宋_GBK"/>
        <w:sz w:val="21"/>
        <w:szCs w:val="21"/>
      </w:rPr>
      <w:t>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ascii="方正仿宋_GBK"/>
        <w:sz w:val="21"/>
        <w:szCs w:val="21"/>
      </w:rPr>
    </w:pPr>
    <w:r>
      <w:rPr>
        <w:rFonts w:hint="eastAsia" w:ascii="方正仿宋_GBK"/>
        <w:sz w:val="21"/>
        <w:szCs w:val="21"/>
      </w:rPr>
      <w:t xml:space="preserve"> </w:t>
    </w:r>
    <w:r>
      <w:rPr>
        <w:rFonts w:hint="eastAsia" w:ascii="方正仿宋_GBK"/>
        <w:sz w:val="21"/>
        <w:szCs w:val="21"/>
        <w:lang w:eastAsia="zh-CN"/>
      </w:rPr>
      <w:t>重庆市巴南区第二人民医院</w:t>
    </w:r>
    <w:r>
      <w:rPr>
        <w:rFonts w:hint="eastAsia" w:ascii="方正仿宋_GBK"/>
        <w:sz w:val="21"/>
        <w:szCs w:val="21"/>
      </w:rPr>
      <w:t xml:space="preserve">                                                 </w:t>
    </w:r>
    <w:r>
      <w:rPr>
        <w:rFonts w:hint="eastAsia" w:ascii="方正仿宋_GBK"/>
        <w:sz w:val="21"/>
        <w:szCs w:val="21"/>
        <w:lang w:eastAsia="zh-CN"/>
      </w:rPr>
      <w:t>遴选</w:t>
    </w:r>
    <w:r>
      <w:rPr>
        <w:rFonts w:hint="eastAsia" w:ascii="方正仿宋_GBK"/>
        <w:sz w:val="21"/>
        <w:szCs w:val="21"/>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89616D"/>
    <w:multiLevelType w:val="singleLevel"/>
    <w:tmpl w:val="CD89616D"/>
    <w:lvl w:ilvl="0" w:tentative="0">
      <w:start w:val="1"/>
      <w:numFmt w:val="decimal"/>
      <w:suff w:val="nothing"/>
      <w:lvlText w:val="%1、"/>
      <w:lvlJc w:val="left"/>
    </w:lvl>
  </w:abstractNum>
  <w:abstractNum w:abstractNumId="1">
    <w:nsid w:val="E19B28B1"/>
    <w:multiLevelType w:val="singleLevel"/>
    <w:tmpl w:val="E19B28B1"/>
    <w:lvl w:ilvl="0" w:tentative="0">
      <w:start w:val="1"/>
      <w:numFmt w:val="decimal"/>
      <w:lvlText w:val="%1."/>
      <w:lvlJc w:val="left"/>
      <w:pPr>
        <w:tabs>
          <w:tab w:val="left" w:pos="312"/>
        </w:tabs>
      </w:pPr>
    </w:lvl>
  </w:abstractNum>
  <w:abstractNum w:abstractNumId="2">
    <w:nsid w:val="6145DAEC"/>
    <w:multiLevelType w:val="singleLevel"/>
    <w:tmpl w:val="6145DAEC"/>
    <w:lvl w:ilvl="0" w:tentative="0">
      <w:start w:val="1"/>
      <w:numFmt w:val="decimal"/>
      <w:suff w:val="nothing"/>
      <w:lvlText w:val="%1、"/>
      <w:lvlJc w:val="left"/>
    </w:lvl>
  </w:abstractNum>
  <w:abstractNum w:abstractNumId="3">
    <w:nsid w:val="78AB23EB"/>
    <w:multiLevelType w:val="singleLevel"/>
    <w:tmpl w:val="78AB23EB"/>
    <w:lvl w:ilvl="0" w:tentative="0">
      <w:start w:val="1"/>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1OThhOWI5OWE5MmE2NzM0OGE5MDNkY2U5YjI3OTgifQ=="/>
  </w:docVars>
  <w:rsids>
    <w:rsidRoot w:val="40C93C2C"/>
    <w:rsid w:val="00001BBA"/>
    <w:rsid w:val="0003371E"/>
    <w:rsid w:val="00035579"/>
    <w:rsid w:val="000443FC"/>
    <w:rsid w:val="00047F4D"/>
    <w:rsid w:val="00072066"/>
    <w:rsid w:val="000738D8"/>
    <w:rsid w:val="00075943"/>
    <w:rsid w:val="00077897"/>
    <w:rsid w:val="0008284F"/>
    <w:rsid w:val="00091FEA"/>
    <w:rsid w:val="000965EE"/>
    <w:rsid w:val="000B2480"/>
    <w:rsid w:val="000C3D09"/>
    <w:rsid w:val="000D3AFA"/>
    <w:rsid w:val="000F145F"/>
    <w:rsid w:val="000F3332"/>
    <w:rsid w:val="00155303"/>
    <w:rsid w:val="0015548F"/>
    <w:rsid w:val="00162C52"/>
    <w:rsid w:val="001704A3"/>
    <w:rsid w:val="0018549B"/>
    <w:rsid w:val="0019140F"/>
    <w:rsid w:val="001957E0"/>
    <w:rsid w:val="00196664"/>
    <w:rsid w:val="00196F1F"/>
    <w:rsid w:val="001A5733"/>
    <w:rsid w:val="001A5A7D"/>
    <w:rsid w:val="001B02F0"/>
    <w:rsid w:val="001E30C4"/>
    <w:rsid w:val="002034BC"/>
    <w:rsid w:val="00203AED"/>
    <w:rsid w:val="002231E8"/>
    <w:rsid w:val="00237EBB"/>
    <w:rsid w:val="00244B36"/>
    <w:rsid w:val="00250893"/>
    <w:rsid w:val="00271429"/>
    <w:rsid w:val="00287DC0"/>
    <w:rsid w:val="00292A24"/>
    <w:rsid w:val="002B01E8"/>
    <w:rsid w:val="002B38BB"/>
    <w:rsid w:val="002B48D7"/>
    <w:rsid w:val="002B7C8D"/>
    <w:rsid w:val="002C6518"/>
    <w:rsid w:val="002D170A"/>
    <w:rsid w:val="002D744B"/>
    <w:rsid w:val="002E6741"/>
    <w:rsid w:val="002F7DBC"/>
    <w:rsid w:val="0030015C"/>
    <w:rsid w:val="0030371C"/>
    <w:rsid w:val="0031205E"/>
    <w:rsid w:val="0031364C"/>
    <w:rsid w:val="00326D37"/>
    <w:rsid w:val="00330559"/>
    <w:rsid w:val="003479AD"/>
    <w:rsid w:val="00351DD2"/>
    <w:rsid w:val="00353FA3"/>
    <w:rsid w:val="00354EF3"/>
    <w:rsid w:val="003578DA"/>
    <w:rsid w:val="00362C84"/>
    <w:rsid w:val="00371609"/>
    <w:rsid w:val="003743E3"/>
    <w:rsid w:val="00384A9F"/>
    <w:rsid w:val="003B5524"/>
    <w:rsid w:val="003C795A"/>
    <w:rsid w:val="003D30BD"/>
    <w:rsid w:val="003E49B8"/>
    <w:rsid w:val="003F7D1E"/>
    <w:rsid w:val="00414057"/>
    <w:rsid w:val="00424CB3"/>
    <w:rsid w:val="00442E69"/>
    <w:rsid w:val="00467A37"/>
    <w:rsid w:val="0049085A"/>
    <w:rsid w:val="0049374C"/>
    <w:rsid w:val="004B3077"/>
    <w:rsid w:val="004D55F7"/>
    <w:rsid w:val="0050657D"/>
    <w:rsid w:val="005074DD"/>
    <w:rsid w:val="0054634E"/>
    <w:rsid w:val="005622EB"/>
    <w:rsid w:val="005823DE"/>
    <w:rsid w:val="005A00D4"/>
    <w:rsid w:val="005B00B3"/>
    <w:rsid w:val="005B77C1"/>
    <w:rsid w:val="005C006D"/>
    <w:rsid w:val="005E7EF2"/>
    <w:rsid w:val="006035B7"/>
    <w:rsid w:val="00665054"/>
    <w:rsid w:val="0066726E"/>
    <w:rsid w:val="00674183"/>
    <w:rsid w:val="00674CFD"/>
    <w:rsid w:val="0067578E"/>
    <w:rsid w:val="0068337C"/>
    <w:rsid w:val="00696CB4"/>
    <w:rsid w:val="006B38B0"/>
    <w:rsid w:val="006B6641"/>
    <w:rsid w:val="006D3EE4"/>
    <w:rsid w:val="006E135B"/>
    <w:rsid w:val="006E175F"/>
    <w:rsid w:val="006F7C3C"/>
    <w:rsid w:val="00700B00"/>
    <w:rsid w:val="00704233"/>
    <w:rsid w:val="00717EFB"/>
    <w:rsid w:val="00726C37"/>
    <w:rsid w:val="0073106B"/>
    <w:rsid w:val="007310B9"/>
    <w:rsid w:val="00733234"/>
    <w:rsid w:val="00745222"/>
    <w:rsid w:val="00756185"/>
    <w:rsid w:val="00771795"/>
    <w:rsid w:val="0079473D"/>
    <w:rsid w:val="007A6ED9"/>
    <w:rsid w:val="007C0407"/>
    <w:rsid w:val="007C146F"/>
    <w:rsid w:val="007C1F10"/>
    <w:rsid w:val="007D100F"/>
    <w:rsid w:val="007D40D3"/>
    <w:rsid w:val="007D515D"/>
    <w:rsid w:val="007D63FC"/>
    <w:rsid w:val="008049A0"/>
    <w:rsid w:val="008113DC"/>
    <w:rsid w:val="0081340A"/>
    <w:rsid w:val="00820D07"/>
    <w:rsid w:val="0084747E"/>
    <w:rsid w:val="00862CFE"/>
    <w:rsid w:val="00862FEF"/>
    <w:rsid w:val="00864E02"/>
    <w:rsid w:val="0087480F"/>
    <w:rsid w:val="00875DC9"/>
    <w:rsid w:val="00884CCB"/>
    <w:rsid w:val="00886203"/>
    <w:rsid w:val="00890337"/>
    <w:rsid w:val="008A6766"/>
    <w:rsid w:val="008B0511"/>
    <w:rsid w:val="008D0817"/>
    <w:rsid w:val="008D4BA3"/>
    <w:rsid w:val="008F7580"/>
    <w:rsid w:val="00902E9F"/>
    <w:rsid w:val="00921417"/>
    <w:rsid w:val="0092188F"/>
    <w:rsid w:val="00923ED6"/>
    <w:rsid w:val="00932200"/>
    <w:rsid w:val="00932D42"/>
    <w:rsid w:val="00984BFA"/>
    <w:rsid w:val="009C2CF6"/>
    <w:rsid w:val="009C4A09"/>
    <w:rsid w:val="009E004F"/>
    <w:rsid w:val="009E0760"/>
    <w:rsid w:val="00A13559"/>
    <w:rsid w:val="00A305A2"/>
    <w:rsid w:val="00A34F4D"/>
    <w:rsid w:val="00A41599"/>
    <w:rsid w:val="00A443B5"/>
    <w:rsid w:val="00A50462"/>
    <w:rsid w:val="00A51D28"/>
    <w:rsid w:val="00A57038"/>
    <w:rsid w:val="00A8111E"/>
    <w:rsid w:val="00A8118D"/>
    <w:rsid w:val="00A82E14"/>
    <w:rsid w:val="00A94272"/>
    <w:rsid w:val="00A95A43"/>
    <w:rsid w:val="00AA38C0"/>
    <w:rsid w:val="00AA5503"/>
    <w:rsid w:val="00AB3664"/>
    <w:rsid w:val="00AB7083"/>
    <w:rsid w:val="00AC02E8"/>
    <w:rsid w:val="00AE5CF8"/>
    <w:rsid w:val="00B00AB4"/>
    <w:rsid w:val="00B0219D"/>
    <w:rsid w:val="00B175C0"/>
    <w:rsid w:val="00B25671"/>
    <w:rsid w:val="00B54DF7"/>
    <w:rsid w:val="00B66180"/>
    <w:rsid w:val="00B81526"/>
    <w:rsid w:val="00BA3F67"/>
    <w:rsid w:val="00BA5F5E"/>
    <w:rsid w:val="00BD4D45"/>
    <w:rsid w:val="00BD5979"/>
    <w:rsid w:val="00BE72CD"/>
    <w:rsid w:val="00BE7A5D"/>
    <w:rsid w:val="00C013F9"/>
    <w:rsid w:val="00C03ADA"/>
    <w:rsid w:val="00C049B6"/>
    <w:rsid w:val="00C04C3D"/>
    <w:rsid w:val="00C402DB"/>
    <w:rsid w:val="00C517B3"/>
    <w:rsid w:val="00C7605F"/>
    <w:rsid w:val="00C82D92"/>
    <w:rsid w:val="00C849C0"/>
    <w:rsid w:val="00CB137E"/>
    <w:rsid w:val="00CB4E76"/>
    <w:rsid w:val="00CC21EC"/>
    <w:rsid w:val="00CC3F89"/>
    <w:rsid w:val="00CC6C95"/>
    <w:rsid w:val="00CD49F7"/>
    <w:rsid w:val="00CD582A"/>
    <w:rsid w:val="00CD5D73"/>
    <w:rsid w:val="00D0530C"/>
    <w:rsid w:val="00D05AD7"/>
    <w:rsid w:val="00D076D5"/>
    <w:rsid w:val="00D46D8F"/>
    <w:rsid w:val="00D52E5D"/>
    <w:rsid w:val="00D5361A"/>
    <w:rsid w:val="00D72445"/>
    <w:rsid w:val="00D87E8E"/>
    <w:rsid w:val="00DB25CA"/>
    <w:rsid w:val="00DB2D52"/>
    <w:rsid w:val="00DC3F03"/>
    <w:rsid w:val="00DC532D"/>
    <w:rsid w:val="00DC6508"/>
    <w:rsid w:val="00DE32B6"/>
    <w:rsid w:val="00DF1062"/>
    <w:rsid w:val="00DF1847"/>
    <w:rsid w:val="00DF7A42"/>
    <w:rsid w:val="00E06F19"/>
    <w:rsid w:val="00E12D8A"/>
    <w:rsid w:val="00E13392"/>
    <w:rsid w:val="00E16C43"/>
    <w:rsid w:val="00E40A9E"/>
    <w:rsid w:val="00E43A43"/>
    <w:rsid w:val="00E51082"/>
    <w:rsid w:val="00E52C06"/>
    <w:rsid w:val="00E66588"/>
    <w:rsid w:val="00E71BDF"/>
    <w:rsid w:val="00E8640D"/>
    <w:rsid w:val="00E93BC4"/>
    <w:rsid w:val="00E96A85"/>
    <w:rsid w:val="00ED18D5"/>
    <w:rsid w:val="00ED477A"/>
    <w:rsid w:val="00ED7017"/>
    <w:rsid w:val="00EE1F3A"/>
    <w:rsid w:val="00EF0562"/>
    <w:rsid w:val="00F07145"/>
    <w:rsid w:val="00F24690"/>
    <w:rsid w:val="00F43F91"/>
    <w:rsid w:val="00F53786"/>
    <w:rsid w:val="00F64C81"/>
    <w:rsid w:val="00F926E3"/>
    <w:rsid w:val="00FA1382"/>
    <w:rsid w:val="00FC40FB"/>
    <w:rsid w:val="00FE25D2"/>
    <w:rsid w:val="00FE39D0"/>
    <w:rsid w:val="010279D9"/>
    <w:rsid w:val="014F2BF9"/>
    <w:rsid w:val="0157524E"/>
    <w:rsid w:val="015A1C08"/>
    <w:rsid w:val="01677D22"/>
    <w:rsid w:val="01760AB5"/>
    <w:rsid w:val="01767DF0"/>
    <w:rsid w:val="018B0415"/>
    <w:rsid w:val="01C410ED"/>
    <w:rsid w:val="01F066C2"/>
    <w:rsid w:val="01F55610"/>
    <w:rsid w:val="02016651"/>
    <w:rsid w:val="02420537"/>
    <w:rsid w:val="02484769"/>
    <w:rsid w:val="02601145"/>
    <w:rsid w:val="0280123D"/>
    <w:rsid w:val="028A36E5"/>
    <w:rsid w:val="02A02677"/>
    <w:rsid w:val="02B61B42"/>
    <w:rsid w:val="02E13F6D"/>
    <w:rsid w:val="02F0290C"/>
    <w:rsid w:val="030555B7"/>
    <w:rsid w:val="0308478D"/>
    <w:rsid w:val="03525480"/>
    <w:rsid w:val="0364408B"/>
    <w:rsid w:val="038F5556"/>
    <w:rsid w:val="03B17B3C"/>
    <w:rsid w:val="03E33B8C"/>
    <w:rsid w:val="03FC7332"/>
    <w:rsid w:val="03FE21F6"/>
    <w:rsid w:val="041F595C"/>
    <w:rsid w:val="04253776"/>
    <w:rsid w:val="0432516C"/>
    <w:rsid w:val="043D1336"/>
    <w:rsid w:val="044755B3"/>
    <w:rsid w:val="044817B9"/>
    <w:rsid w:val="044E0C6E"/>
    <w:rsid w:val="045D4134"/>
    <w:rsid w:val="04634C76"/>
    <w:rsid w:val="04784101"/>
    <w:rsid w:val="047C69AB"/>
    <w:rsid w:val="04887AAC"/>
    <w:rsid w:val="048E150A"/>
    <w:rsid w:val="04B750FF"/>
    <w:rsid w:val="04C63186"/>
    <w:rsid w:val="04DA1B93"/>
    <w:rsid w:val="04E119F2"/>
    <w:rsid w:val="04F17CDF"/>
    <w:rsid w:val="04FD1264"/>
    <w:rsid w:val="050749F2"/>
    <w:rsid w:val="05150164"/>
    <w:rsid w:val="051667F9"/>
    <w:rsid w:val="054264E4"/>
    <w:rsid w:val="054B1622"/>
    <w:rsid w:val="054C57E7"/>
    <w:rsid w:val="057250EE"/>
    <w:rsid w:val="057F564B"/>
    <w:rsid w:val="058F4061"/>
    <w:rsid w:val="05956E68"/>
    <w:rsid w:val="05A416E1"/>
    <w:rsid w:val="05A5042F"/>
    <w:rsid w:val="05AD31CE"/>
    <w:rsid w:val="05B97F22"/>
    <w:rsid w:val="05CE632E"/>
    <w:rsid w:val="05D07EE5"/>
    <w:rsid w:val="061640A4"/>
    <w:rsid w:val="0633527A"/>
    <w:rsid w:val="0648044E"/>
    <w:rsid w:val="066261CA"/>
    <w:rsid w:val="06634C7E"/>
    <w:rsid w:val="06792DD5"/>
    <w:rsid w:val="067E7DEF"/>
    <w:rsid w:val="068C109B"/>
    <w:rsid w:val="069947CA"/>
    <w:rsid w:val="06CE1AAF"/>
    <w:rsid w:val="06DA7052"/>
    <w:rsid w:val="06F62DD7"/>
    <w:rsid w:val="06F66EA1"/>
    <w:rsid w:val="07255051"/>
    <w:rsid w:val="072F431D"/>
    <w:rsid w:val="07310258"/>
    <w:rsid w:val="0757791A"/>
    <w:rsid w:val="07690DCB"/>
    <w:rsid w:val="07737A50"/>
    <w:rsid w:val="077869DB"/>
    <w:rsid w:val="077E496D"/>
    <w:rsid w:val="079917ED"/>
    <w:rsid w:val="079B3A16"/>
    <w:rsid w:val="07B83A96"/>
    <w:rsid w:val="07B96411"/>
    <w:rsid w:val="07D37FD5"/>
    <w:rsid w:val="07E459B1"/>
    <w:rsid w:val="07F44CA4"/>
    <w:rsid w:val="080816EE"/>
    <w:rsid w:val="080A7480"/>
    <w:rsid w:val="080D7A6E"/>
    <w:rsid w:val="083657FB"/>
    <w:rsid w:val="08381F25"/>
    <w:rsid w:val="08385375"/>
    <w:rsid w:val="083D27F3"/>
    <w:rsid w:val="08426019"/>
    <w:rsid w:val="08447953"/>
    <w:rsid w:val="08545A1E"/>
    <w:rsid w:val="086069BB"/>
    <w:rsid w:val="086A6A25"/>
    <w:rsid w:val="0884738C"/>
    <w:rsid w:val="088578D6"/>
    <w:rsid w:val="08897A3F"/>
    <w:rsid w:val="08B639AB"/>
    <w:rsid w:val="08B931D6"/>
    <w:rsid w:val="08FE7A50"/>
    <w:rsid w:val="090717EE"/>
    <w:rsid w:val="092B1932"/>
    <w:rsid w:val="094E33C8"/>
    <w:rsid w:val="094F62FF"/>
    <w:rsid w:val="09504B83"/>
    <w:rsid w:val="09545647"/>
    <w:rsid w:val="09574FC9"/>
    <w:rsid w:val="09707B94"/>
    <w:rsid w:val="0971450C"/>
    <w:rsid w:val="09716C57"/>
    <w:rsid w:val="098965C9"/>
    <w:rsid w:val="09993053"/>
    <w:rsid w:val="09AA4B46"/>
    <w:rsid w:val="09AA55A6"/>
    <w:rsid w:val="09BB2234"/>
    <w:rsid w:val="09DD6F59"/>
    <w:rsid w:val="09F139B6"/>
    <w:rsid w:val="0A0B6679"/>
    <w:rsid w:val="0A147E07"/>
    <w:rsid w:val="0A200E2D"/>
    <w:rsid w:val="0A3F501F"/>
    <w:rsid w:val="0A41307A"/>
    <w:rsid w:val="0A6B1B3B"/>
    <w:rsid w:val="0A6B46B7"/>
    <w:rsid w:val="0A8E517A"/>
    <w:rsid w:val="0A916B10"/>
    <w:rsid w:val="0A9D0E4A"/>
    <w:rsid w:val="0AE24125"/>
    <w:rsid w:val="0B046A7D"/>
    <w:rsid w:val="0B106A66"/>
    <w:rsid w:val="0B1A6417"/>
    <w:rsid w:val="0B1F2B63"/>
    <w:rsid w:val="0B281DDC"/>
    <w:rsid w:val="0B37498A"/>
    <w:rsid w:val="0B4A0702"/>
    <w:rsid w:val="0B565A87"/>
    <w:rsid w:val="0B565E12"/>
    <w:rsid w:val="0B606621"/>
    <w:rsid w:val="0B731D84"/>
    <w:rsid w:val="0B782745"/>
    <w:rsid w:val="0B7A6950"/>
    <w:rsid w:val="0B890535"/>
    <w:rsid w:val="0B9569A0"/>
    <w:rsid w:val="0B981162"/>
    <w:rsid w:val="0BBA00D3"/>
    <w:rsid w:val="0BBA6364"/>
    <w:rsid w:val="0BC33CF1"/>
    <w:rsid w:val="0BD14CC5"/>
    <w:rsid w:val="0C1A35AD"/>
    <w:rsid w:val="0C2301DA"/>
    <w:rsid w:val="0C271F1A"/>
    <w:rsid w:val="0C2A1865"/>
    <w:rsid w:val="0C2D4207"/>
    <w:rsid w:val="0C4135AB"/>
    <w:rsid w:val="0C535558"/>
    <w:rsid w:val="0C653B44"/>
    <w:rsid w:val="0C8274E1"/>
    <w:rsid w:val="0C947A74"/>
    <w:rsid w:val="0CA060DB"/>
    <w:rsid w:val="0CAA6660"/>
    <w:rsid w:val="0CDB38BE"/>
    <w:rsid w:val="0CEB6E50"/>
    <w:rsid w:val="0D123DAD"/>
    <w:rsid w:val="0D223618"/>
    <w:rsid w:val="0D2678EF"/>
    <w:rsid w:val="0D2C1440"/>
    <w:rsid w:val="0D3D3362"/>
    <w:rsid w:val="0D4C6C38"/>
    <w:rsid w:val="0D637261"/>
    <w:rsid w:val="0D6A6D48"/>
    <w:rsid w:val="0D7936EE"/>
    <w:rsid w:val="0D8D79D7"/>
    <w:rsid w:val="0D984F26"/>
    <w:rsid w:val="0DA755E0"/>
    <w:rsid w:val="0DB959FB"/>
    <w:rsid w:val="0DC0699C"/>
    <w:rsid w:val="0DC87EB8"/>
    <w:rsid w:val="0DCF2E4D"/>
    <w:rsid w:val="0DD926DA"/>
    <w:rsid w:val="0DE021A4"/>
    <w:rsid w:val="0DE564AD"/>
    <w:rsid w:val="0E1645CD"/>
    <w:rsid w:val="0E296A53"/>
    <w:rsid w:val="0E371F9B"/>
    <w:rsid w:val="0E3A6F1A"/>
    <w:rsid w:val="0E3C0D54"/>
    <w:rsid w:val="0E3F63E9"/>
    <w:rsid w:val="0E566686"/>
    <w:rsid w:val="0E5C577C"/>
    <w:rsid w:val="0E616184"/>
    <w:rsid w:val="0E673C8D"/>
    <w:rsid w:val="0E6E4728"/>
    <w:rsid w:val="0E6F6BDF"/>
    <w:rsid w:val="0E9070CF"/>
    <w:rsid w:val="0EA77815"/>
    <w:rsid w:val="0EAB02E0"/>
    <w:rsid w:val="0EAE7D74"/>
    <w:rsid w:val="0EB16063"/>
    <w:rsid w:val="0EB96541"/>
    <w:rsid w:val="0EC50B88"/>
    <w:rsid w:val="0ED7162C"/>
    <w:rsid w:val="0EDC2F3B"/>
    <w:rsid w:val="0EE62986"/>
    <w:rsid w:val="0EF50F52"/>
    <w:rsid w:val="0F051D41"/>
    <w:rsid w:val="0F0778E1"/>
    <w:rsid w:val="0F2605FA"/>
    <w:rsid w:val="0F2B11BE"/>
    <w:rsid w:val="0F2C4D2D"/>
    <w:rsid w:val="0F2E2FD4"/>
    <w:rsid w:val="0F2E7E64"/>
    <w:rsid w:val="0F2F1258"/>
    <w:rsid w:val="0F311FF6"/>
    <w:rsid w:val="0F412B53"/>
    <w:rsid w:val="0F4168EE"/>
    <w:rsid w:val="0F501C09"/>
    <w:rsid w:val="0F5920DD"/>
    <w:rsid w:val="0F59233E"/>
    <w:rsid w:val="0F68792A"/>
    <w:rsid w:val="0F944496"/>
    <w:rsid w:val="0F9C5445"/>
    <w:rsid w:val="0FAB6F93"/>
    <w:rsid w:val="0FB06A76"/>
    <w:rsid w:val="0FB14946"/>
    <w:rsid w:val="0FB219ED"/>
    <w:rsid w:val="0FB90AE1"/>
    <w:rsid w:val="0FC75875"/>
    <w:rsid w:val="0FCE556B"/>
    <w:rsid w:val="0FD77509"/>
    <w:rsid w:val="0FF514D4"/>
    <w:rsid w:val="101A082E"/>
    <w:rsid w:val="103804C5"/>
    <w:rsid w:val="10441F3B"/>
    <w:rsid w:val="10512649"/>
    <w:rsid w:val="106557CD"/>
    <w:rsid w:val="10662F99"/>
    <w:rsid w:val="10665B03"/>
    <w:rsid w:val="106C6CC8"/>
    <w:rsid w:val="107416A2"/>
    <w:rsid w:val="107E0C99"/>
    <w:rsid w:val="1084225D"/>
    <w:rsid w:val="10906703"/>
    <w:rsid w:val="10935107"/>
    <w:rsid w:val="1097001C"/>
    <w:rsid w:val="10A54B90"/>
    <w:rsid w:val="10B23DB6"/>
    <w:rsid w:val="10C9030A"/>
    <w:rsid w:val="10C957B0"/>
    <w:rsid w:val="10D313A9"/>
    <w:rsid w:val="10EF6ECA"/>
    <w:rsid w:val="10F6418F"/>
    <w:rsid w:val="11297E47"/>
    <w:rsid w:val="112E764C"/>
    <w:rsid w:val="114A07B2"/>
    <w:rsid w:val="115117C7"/>
    <w:rsid w:val="11522FB8"/>
    <w:rsid w:val="11755598"/>
    <w:rsid w:val="11777F12"/>
    <w:rsid w:val="11A27A3D"/>
    <w:rsid w:val="11A46BA8"/>
    <w:rsid w:val="11AB7F2F"/>
    <w:rsid w:val="11AF7974"/>
    <w:rsid w:val="11B07944"/>
    <w:rsid w:val="11B3004F"/>
    <w:rsid w:val="11B95D68"/>
    <w:rsid w:val="11D0607A"/>
    <w:rsid w:val="11F81312"/>
    <w:rsid w:val="1205621C"/>
    <w:rsid w:val="120B1CE1"/>
    <w:rsid w:val="12134D18"/>
    <w:rsid w:val="122D552A"/>
    <w:rsid w:val="12460326"/>
    <w:rsid w:val="12472C82"/>
    <w:rsid w:val="12590DDF"/>
    <w:rsid w:val="127A2C8B"/>
    <w:rsid w:val="127E28D0"/>
    <w:rsid w:val="1287113B"/>
    <w:rsid w:val="12A3680D"/>
    <w:rsid w:val="12BE74A2"/>
    <w:rsid w:val="12CC1A9F"/>
    <w:rsid w:val="12DE37CA"/>
    <w:rsid w:val="12E22A42"/>
    <w:rsid w:val="12F3489F"/>
    <w:rsid w:val="1319122A"/>
    <w:rsid w:val="13191FB4"/>
    <w:rsid w:val="131B1C0A"/>
    <w:rsid w:val="1326221F"/>
    <w:rsid w:val="1329211C"/>
    <w:rsid w:val="134767CE"/>
    <w:rsid w:val="13515C6F"/>
    <w:rsid w:val="135B2389"/>
    <w:rsid w:val="13646713"/>
    <w:rsid w:val="1369338C"/>
    <w:rsid w:val="13F41DC8"/>
    <w:rsid w:val="13F60D71"/>
    <w:rsid w:val="14047920"/>
    <w:rsid w:val="141324B8"/>
    <w:rsid w:val="141A1344"/>
    <w:rsid w:val="142B21B3"/>
    <w:rsid w:val="142F1C51"/>
    <w:rsid w:val="1438137D"/>
    <w:rsid w:val="144357A0"/>
    <w:rsid w:val="14567CD7"/>
    <w:rsid w:val="14630F64"/>
    <w:rsid w:val="148C68FC"/>
    <w:rsid w:val="14AA0EF6"/>
    <w:rsid w:val="14B3676D"/>
    <w:rsid w:val="14C16DCA"/>
    <w:rsid w:val="14D03112"/>
    <w:rsid w:val="14DA3589"/>
    <w:rsid w:val="14E03344"/>
    <w:rsid w:val="14EC4497"/>
    <w:rsid w:val="14EC5133"/>
    <w:rsid w:val="14EF7735"/>
    <w:rsid w:val="15074CDC"/>
    <w:rsid w:val="15115034"/>
    <w:rsid w:val="15334DEF"/>
    <w:rsid w:val="15445C19"/>
    <w:rsid w:val="15465150"/>
    <w:rsid w:val="1570285F"/>
    <w:rsid w:val="15925129"/>
    <w:rsid w:val="15AE41BE"/>
    <w:rsid w:val="15C61793"/>
    <w:rsid w:val="15FB06EE"/>
    <w:rsid w:val="15FD18D8"/>
    <w:rsid w:val="161E429C"/>
    <w:rsid w:val="16443619"/>
    <w:rsid w:val="16500E7E"/>
    <w:rsid w:val="16636F9F"/>
    <w:rsid w:val="16876714"/>
    <w:rsid w:val="16931C57"/>
    <w:rsid w:val="16A8316B"/>
    <w:rsid w:val="16D827B4"/>
    <w:rsid w:val="16D86495"/>
    <w:rsid w:val="16DC3E6F"/>
    <w:rsid w:val="170B0999"/>
    <w:rsid w:val="17111E96"/>
    <w:rsid w:val="171B48F8"/>
    <w:rsid w:val="17384D65"/>
    <w:rsid w:val="173F7E34"/>
    <w:rsid w:val="174B278C"/>
    <w:rsid w:val="174D13DC"/>
    <w:rsid w:val="174F4176"/>
    <w:rsid w:val="17521752"/>
    <w:rsid w:val="175468B3"/>
    <w:rsid w:val="176C42C2"/>
    <w:rsid w:val="178831DB"/>
    <w:rsid w:val="178B727D"/>
    <w:rsid w:val="17915058"/>
    <w:rsid w:val="179B4647"/>
    <w:rsid w:val="17D91A12"/>
    <w:rsid w:val="17DC4AC3"/>
    <w:rsid w:val="17E801FE"/>
    <w:rsid w:val="17F80177"/>
    <w:rsid w:val="17F83F44"/>
    <w:rsid w:val="18003820"/>
    <w:rsid w:val="18016986"/>
    <w:rsid w:val="18083050"/>
    <w:rsid w:val="180C72BC"/>
    <w:rsid w:val="1828358E"/>
    <w:rsid w:val="18297C98"/>
    <w:rsid w:val="182A2EC1"/>
    <w:rsid w:val="1842004B"/>
    <w:rsid w:val="18450DB8"/>
    <w:rsid w:val="18471246"/>
    <w:rsid w:val="185E3E5E"/>
    <w:rsid w:val="18805CA9"/>
    <w:rsid w:val="18883AAC"/>
    <w:rsid w:val="189027F5"/>
    <w:rsid w:val="18961D72"/>
    <w:rsid w:val="18974E66"/>
    <w:rsid w:val="18AE05D8"/>
    <w:rsid w:val="18B20138"/>
    <w:rsid w:val="18F76F56"/>
    <w:rsid w:val="19003311"/>
    <w:rsid w:val="19105F35"/>
    <w:rsid w:val="19633697"/>
    <w:rsid w:val="19696F3B"/>
    <w:rsid w:val="196E3277"/>
    <w:rsid w:val="19791782"/>
    <w:rsid w:val="19796783"/>
    <w:rsid w:val="19963B0C"/>
    <w:rsid w:val="19CE7E98"/>
    <w:rsid w:val="19DC2C4D"/>
    <w:rsid w:val="19EA1D92"/>
    <w:rsid w:val="19F631DB"/>
    <w:rsid w:val="19FD05C4"/>
    <w:rsid w:val="19FF2193"/>
    <w:rsid w:val="1A127975"/>
    <w:rsid w:val="1A35305B"/>
    <w:rsid w:val="1A3D4028"/>
    <w:rsid w:val="1A4B2512"/>
    <w:rsid w:val="1A4F6A6D"/>
    <w:rsid w:val="1A5B42E4"/>
    <w:rsid w:val="1A687285"/>
    <w:rsid w:val="1A7E0E74"/>
    <w:rsid w:val="1A8B167A"/>
    <w:rsid w:val="1A9255FF"/>
    <w:rsid w:val="1AA3538D"/>
    <w:rsid w:val="1ABD562B"/>
    <w:rsid w:val="1AC748A9"/>
    <w:rsid w:val="1ACD57D8"/>
    <w:rsid w:val="1ACF5964"/>
    <w:rsid w:val="1AD64380"/>
    <w:rsid w:val="1B201BA8"/>
    <w:rsid w:val="1B2F52C1"/>
    <w:rsid w:val="1B446A63"/>
    <w:rsid w:val="1B4861BC"/>
    <w:rsid w:val="1B5F3BA9"/>
    <w:rsid w:val="1B7C4CBC"/>
    <w:rsid w:val="1BA20319"/>
    <w:rsid w:val="1BA8064B"/>
    <w:rsid w:val="1BB31DC9"/>
    <w:rsid w:val="1BD546D0"/>
    <w:rsid w:val="1BD92CE5"/>
    <w:rsid w:val="1BE44770"/>
    <w:rsid w:val="1C390072"/>
    <w:rsid w:val="1C3E461E"/>
    <w:rsid w:val="1C440099"/>
    <w:rsid w:val="1C552CB4"/>
    <w:rsid w:val="1C5B535A"/>
    <w:rsid w:val="1C5D4700"/>
    <w:rsid w:val="1C6D3D32"/>
    <w:rsid w:val="1C6D6F90"/>
    <w:rsid w:val="1C714856"/>
    <w:rsid w:val="1CA2209A"/>
    <w:rsid w:val="1CB60284"/>
    <w:rsid w:val="1CC17CA3"/>
    <w:rsid w:val="1CE90020"/>
    <w:rsid w:val="1CEA6411"/>
    <w:rsid w:val="1D017EAC"/>
    <w:rsid w:val="1D024550"/>
    <w:rsid w:val="1D0C1AA0"/>
    <w:rsid w:val="1D0F7F68"/>
    <w:rsid w:val="1D211A07"/>
    <w:rsid w:val="1D2A6B5E"/>
    <w:rsid w:val="1D300695"/>
    <w:rsid w:val="1D404CCB"/>
    <w:rsid w:val="1D4C3EAC"/>
    <w:rsid w:val="1D640CBD"/>
    <w:rsid w:val="1D77128B"/>
    <w:rsid w:val="1D7A465E"/>
    <w:rsid w:val="1D90417C"/>
    <w:rsid w:val="1DA62814"/>
    <w:rsid w:val="1DAC7417"/>
    <w:rsid w:val="1DB0454D"/>
    <w:rsid w:val="1DBA3A88"/>
    <w:rsid w:val="1DDE688F"/>
    <w:rsid w:val="1DEA4B40"/>
    <w:rsid w:val="1DF96CE6"/>
    <w:rsid w:val="1E0C2468"/>
    <w:rsid w:val="1E100DEB"/>
    <w:rsid w:val="1E124355"/>
    <w:rsid w:val="1E1F5B59"/>
    <w:rsid w:val="1E246F2E"/>
    <w:rsid w:val="1E350532"/>
    <w:rsid w:val="1E3A4F0E"/>
    <w:rsid w:val="1E513EF5"/>
    <w:rsid w:val="1E5C14EF"/>
    <w:rsid w:val="1E605AC7"/>
    <w:rsid w:val="1E687E27"/>
    <w:rsid w:val="1E7770DE"/>
    <w:rsid w:val="1E7B4161"/>
    <w:rsid w:val="1E855897"/>
    <w:rsid w:val="1E8662A1"/>
    <w:rsid w:val="1E9274EE"/>
    <w:rsid w:val="1E976387"/>
    <w:rsid w:val="1E9A1A93"/>
    <w:rsid w:val="1EA05F78"/>
    <w:rsid w:val="1EA30377"/>
    <w:rsid w:val="1EAC5CF0"/>
    <w:rsid w:val="1EC61C90"/>
    <w:rsid w:val="1ED33DF7"/>
    <w:rsid w:val="1ED51EC0"/>
    <w:rsid w:val="1EDF2AC3"/>
    <w:rsid w:val="1EEC6C9C"/>
    <w:rsid w:val="1EED41C7"/>
    <w:rsid w:val="1EEF27F7"/>
    <w:rsid w:val="1EFF65BD"/>
    <w:rsid w:val="1F0301E8"/>
    <w:rsid w:val="1F0F4418"/>
    <w:rsid w:val="1F2450A2"/>
    <w:rsid w:val="1F266AF2"/>
    <w:rsid w:val="1F2921C1"/>
    <w:rsid w:val="1F423080"/>
    <w:rsid w:val="1F4A5A23"/>
    <w:rsid w:val="1F613BBB"/>
    <w:rsid w:val="1F6208FA"/>
    <w:rsid w:val="1F795699"/>
    <w:rsid w:val="1F7D7B7E"/>
    <w:rsid w:val="1F8B00EC"/>
    <w:rsid w:val="1F8D2DEF"/>
    <w:rsid w:val="1F8D462E"/>
    <w:rsid w:val="1F980438"/>
    <w:rsid w:val="1FC032E1"/>
    <w:rsid w:val="1FD87ACC"/>
    <w:rsid w:val="1FD90556"/>
    <w:rsid w:val="1FE95A8A"/>
    <w:rsid w:val="1FEF0C77"/>
    <w:rsid w:val="1FFE3BAB"/>
    <w:rsid w:val="2010660D"/>
    <w:rsid w:val="2018367A"/>
    <w:rsid w:val="202145A8"/>
    <w:rsid w:val="20346975"/>
    <w:rsid w:val="20504D09"/>
    <w:rsid w:val="20562924"/>
    <w:rsid w:val="20564A23"/>
    <w:rsid w:val="20734217"/>
    <w:rsid w:val="209F46FC"/>
    <w:rsid w:val="20D5415D"/>
    <w:rsid w:val="20F420C9"/>
    <w:rsid w:val="210078FB"/>
    <w:rsid w:val="2111630E"/>
    <w:rsid w:val="212D3408"/>
    <w:rsid w:val="212F5663"/>
    <w:rsid w:val="213532BF"/>
    <w:rsid w:val="21364E40"/>
    <w:rsid w:val="21474A51"/>
    <w:rsid w:val="21481066"/>
    <w:rsid w:val="216960C8"/>
    <w:rsid w:val="2175028B"/>
    <w:rsid w:val="21812E44"/>
    <w:rsid w:val="21971541"/>
    <w:rsid w:val="21A168C8"/>
    <w:rsid w:val="21B646D2"/>
    <w:rsid w:val="21BF6616"/>
    <w:rsid w:val="21C31913"/>
    <w:rsid w:val="21CB5A7A"/>
    <w:rsid w:val="21CC3D94"/>
    <w:rsid w:val="21DD1C30"/>
    <w:rsid w:val="21EB17A7"/>
    <w:rsid w:val="22002E02"/>
    <w:rsid w:val="220E6AD5"/>
    <w:rsid w:val="221706BD"/>
    <w:rsid w:val="22194AE1"/>
    <w:rsid w:val="22430C86"/>
    <w:rsid w:val="225659D9"/>
    <w:rsid w:val="22655D72"/>
    <w:rsid w:val="227135F2"/>
    <w:rsid w:val="2287643A"/>
    <w:rsid w:val="228E7E33"/>
    <w:rsid w:val="229C1F7F"/>
    <w:rsid w:val="22BB71A9"/>
    <w:rsid w:val="22CD7333"/>
    <w:rsid w:val="22CE48AD"/>
    <w:rsid w:val="22D44DB6"/>
    <w:rsid w:val="22EE5736"/>
    <w:rsid w:val="23085EC2"/>
    <w:rsid w:val="230F1C77"/>
    <w:rsid w:val="231213A2"/>
    <w:rsid w:val="23292671"/>
    <w:rsid w:val="232E02AF"/>
    <w:rsid w:val="235258B9"/>
    <w:rsid w:val="23562E54"/>
    <w:rsid w:val="237B1C44"/>
    <w:rsid w:val="23897251"/>
    <w:rsid w:val="239A212D"/>
    <w:rsid w:val="23B01098"/>
    <w:rsid w:val="23BC7739"/>
    <w:rsid w:val="23D360E9"/>
    <w:rsid w:val="23DD275A"/>
    <w:rsid w:val="23E30CF5"/>
    <w:rsid w:val="23F31E65"/>
    <w:rsid w:val="23FA7418"/>
    <w:rsid w:val="240209F5"/>
    <w:rsid w:val="2403217D"/>
    <w:rsid w:val="24092638"/>
    <w:rsid w:val="240F5818"/>
    <w:rsid w:val="241F01FE"/>
    <w:rsid w:val="24281757"/>
    <w:rsid w:val="243D08AD"/>
    <w:rsid w:val="244A501D"/>
    <w:rsid w:val="245B6551"/>
    <w:rsid w:val="2463062C"/>
    <w:rsid w:val="246A6F49"/>
    <w:rsid w:val="247750E5"/>
    <w:rsid w:val="247A4326"/>
    <w:rsid w:val="24917AC6"/>
    <w:rsid w:val="24921F46"/>
    <w:rsid w:val="24992AB5"/>
    <w:rsid w:val="24A235F9"/>
    <w:rsid w:val="24A4255F"/>
    <w:rsid w:val="24B675AA"/>
    <w:rsid w:val="24C27401"/>
    <w:rsid w:val="24C70BDA"/>
    <w:rsid w:val="24CF524B"/>
    <w:rsid w:val="24F33B9B"/>
    <w:rsid w:val="24F546EC"/>
    <w:rsid w:val="24FB6E4C"/>
    <w:rsid w:val="25220CBC"/>
    <w:rsid w:val="25397F25"/>
    <w:rsid w:val="25632058"/>
    <w:rsid w:val="256539D3"/>
    <w:rsid w:val="257E0077"/>
    <w:rsid w:val="257E230E"/>
    <w:rsid w:val="25825111"/>
    <w:rsid w:val="25874688"/>
    <w:rsid w:val="258A783A"/>
    <w:rsid w:val="258B3340"/>
    <w:rsid w:val="25916DB0"/>
    <w:rsid w:val="25A378D6"/>
    <w:rsid w:val="25B94D9E"/>
    <w:rsid w:val="25BC4229"/>
    <w:rsid w:val="25CA270E"/>
    <w:rsid w:val="25D42D49"/>
    <w:rsid w:val="25E263A8"/>
    <w:rsid w:val="25E877BF"/>
    <w:rsid w:val="25E96F10"/>
    <w:rsid w:val="25F8138C"/>
    <w:rsid w:val="25FC2997"/>
    <w:rsid w:val="26270E8E"/>
    <w:rsid w:val="26527B3D"/>
    <w:rsid w:val="26843AD6"/>
    <w:rsid w:val="268D58C1"/>
    <w:rsid w:val="2697109A"/>
    <w:rsid w:val="269D6667"/>
    <w:rsid w:val="26BC2E63"/>
    <w:rsid w:val="26C70358"/>
    <w:rsid w:val="26DF5234"/>
    <w:rsid w:val="26E44315"/>
    <w:rsid w:val="26EE4A86"/>
    <w:rsid w:val="270B543C"/>
    <w:rsid w:val="271A6337"/>
    <w:rsid w:val="272E24A9"/>
    <w:rsid w:val="273419E0"/>
    <w:rsid w:val="27613A74"/>
    <w:rsid w:val="27752467"/>
    <w:rsid w:val="27A1529D"/>
    <w:rsid w:val="27B33DDE"/>
    <w:rsid w:val="27B92300"/>
    <w:rsid w:val="27B92BBF"/>
    <w:rsid w:val="27DF19ED"/>
    <w:rsid w:val="27EA6EB0"/>
    <w:rsid w:val="280D5715"/>
    <w:rsid w:val="28193342"/>
    <w:rsid w:val="281E07FC"/>
    <w:rsid w:val="282D1F29"/>
    <w:rsid w:val="284517B7"/>
    <w:rsid w:val="285B5066"/>
    <w:rsid w:val="285F61BC"/>
    <w:rsid w:val="286A3619"/>
    <w:rsid w:val="287064B6"/>
    <w:rsid w:val="288C3C94"/>
    <w:rsid w:val="28940A2F"/>
    <w:rsid w:val="28B016EF"/>
    <w:rsid w:val="28BA0295"/>
    <w:rsid w:val="28CF6803"/>
    <w:rsid w:val="29204D4E"/>
    <w:rsid w:val="292F3DF1"/>
    <w:rsid w:val="293A08BB"/>
    <w:rsid w:val="29464541"/>
    <w:rsid w:val="294D0514"/>
    <w:rsid w:val="294F294E"/>
    <w:rsid w:val="2952265D"/>
    <w:rsid w:val="29571496"/>
    <w:rsid w:val="296A6FEC"/>
    <w:rsid w:val="2973273F"/>
    <w:rsid w:val="297C5933"/>
    <w:rsid w:val="29965195"/>
    <w:rsid w:val="29965A3F"/>
    <w:rsid w:val="299C5619"/>
    <w:rsid w:val="299D1471"/>
    <w:rsid w:val="299D30D3"/>
    <w:rsid w:val="29B70C98"/>
    <w:rsid w:val="29B751B5"/>
    <w:rsid w:val="29BE4971"/>
    <w:rsid w:val="29CC380C"/>
    <w:rsid w:val="29D3077C"/>
    <w:rsid w:val="29F55883"/>
    <w:rsid w:val="2A2C5A6D"/>
    <w:rsid w:val="2A4065CD"/>
    <w:rsid w:val="2A7E669D"/>
    <w:rsid w:val="2A984D6D"/>
    <w:rsid w:val="2AA51639"/>
    <w:rsid w:val="2AAF6F8A"/>
    <w:rsid w:val="2AB557FE"/>
    <w:rsid w:val="2ABA6BA0"/>
    <w:rsid w:val="2AC407E3"/>
    <w:rsid w:val="2AE01A27"/>
    <w:rsid w:val="2AE62AFD"/>
    <w:rsid w:val="2AE651BB"/>
    <w:rsid w:val="2AFB0A4E"/>
    <w:rsid w:val="2B1818F6"/>
    <w:rsid w:val="2B304F93"/>
    <w:rsid w:val="2B3A1D21"/>
    <w:rsid w:val="2B3A5BA9"/>
    <w:rsid w:val="2B6F5DD1"/>
    <w:rsid w:val="2B8307CD"/>
    <w:rsid w:val="2B925829"/>
    <w:rsid w:val="2B9B1D78"/>
    <w:rsid w:val="2BA40DD5"/>
    <w:rsid w:val="2BC710E3"/>
    <w:rsid w:val="2BD52616"/>
    <w:rsid w:val="2BD5324B"/>
    <w:rsid w:val="2C013EB5"/>
    <w:rsid w:val="2C183F6B"/>
    <w:rsid w:val="2C1E1D73"/>
    <w:rsid w:val="2C43116A"/>
    <w:rsid w:val="2C524C08"/>
    <w:rsid w:val="2C827B71"/>
    <w:rsid w:val="2C864B2D"/>
    <w:rsid w:val="2C921E2C"/>
    <w:rsid w:val="2C950523"/>
    <w:rsid w:val="2C9876B9"/>
    <w:rsid w:val="2CAD0911"/>
    <w:rsid w:val="2CBB728E"/>
    <w:rsid w:val="2CBC4F72"/>
    <w:rsid w:val="2CBE2968"/>
    <w:rsid w:val="2CCD168B"/>
    <w:rsid w:val="2CD3198B"/>
    <w:rsid w:val="2CDA4B5F"/>
    <w:rsid w:val="2D0F2BE4"/>
    <w:rsid w:val="2D1579D5"/>
    <w:rsid w:val="2D1C7D09"/>
    <w:rsid w:val="2D2073FA"/>
    <w:rsid w:val="2D2912ED"/>
    <w:rsid w:val="2D390945"/>
    <w:rsid w:val="2D41024B"/>
    <w:rsid w:val="2D5C676F"/>
    <w:rsid w:val="2D670417"/>
    <w:rsid w:val="2D6858D9"/>
    <w:rsid w:val="2D73635F"/>
    <w:rsid w:val="2D82288D"/>
    <w:rsid w:val="2D8D7D17"/>
    <w:rsid w:val="2DA2350C"/>
    <w:rsid w:val="2DA26B18"/>
    <w:rsid w:val="2DA8623F"/>
    <w:rsid w:val="2DA961F4"/>
    <w:rsid w:val="2DC405AA"/>
    <w:rsid w:val="2DCE52AB"/>
    <w:rsid w:val="2DEA093A"/>
    <w:rsid w:val="2DEC574C"/>
    <w:rsid w:val="2E107F27"/>
    <w:rsid w:val="2E1774BB"/>
    <w:rsid w:val="2E350841"/>
    <w:rsid w:val="2E3F30CE"/>
    <w:rsid w:val="2E3F3B86"/>
    <w:rsid w:val="2E464466"/>
    <w:rsid w:val="2E513AEA"/>
    <w:rsid w:val="2E5546CA"/>
    <w:rsid w:val="2E5A7BE8"/>
    <w:rsid w:val="2E5D4E74"/>
    <w:rsid w:val="2E6233B1"/>
    <w:rsid w:val="2E6C0BC3"/>
    <w:rsid w:val="2E8A4356"/>
    <w:rsid w:val="2E9208E5"/>
    <w:rsid w:val="2E994CCB"/>
    <w:rsid w:val="2EC165B7"/>
    <w:rsid w:val="2EC94A7F"/>
    <w:rsid w:val="2EE21BC4"/>
    <w:rsid w:val="2EE828E1"/>
    <w:rsid w:val="2F12452C"/>
    <w:rsid w:val="2F1C52C6"/>
    <w:rsid w:val="2F256FF1"/>
    <w:rsid w:val="2F27097A"/>
    <w:rsid w:val="2F3B2694"/>
    <w:rsid w:val="2F3D0B0C"/>
    <w:rsid w:val="2F597FAF"/>
    <w:rsid w:val="2F66090D"/>
    <w:rsid w:val="2F740EEC"/>
    <w:rsid w:val="2F886E02"/>
    <w:rsid w:val="2F8B3D1C"/>
    <w:rsid w:val="2FA62C4D"/>
    <w:rsid w:val="2FBF6B43"/>
    <w:rsid w:val="2FCF2F65"/>
    <w:rsid w:val="2FD6053B"/>
    <w:rsid w:val="2FE95F99"/>
    <w:rsid w:val="30017697"/>
    <w:rsid w:val="301F4C48"/>
    <w:rsid w:val="301F7643"/>
    <w:rsid w:val="30283439"/>
    <w:rsid w:val="302F5185"/>
    <w:rsid w:val="30426FCF"/>
    <w:rsid w:val="30587FA7"/>
    <w:rsid w:val="305D7AD0"/>
    <w:rsid w:val="30685E7B"/>
    <w:rsid w:val="308D0993"/>
    <w:rsid w:val="308D42C9"/>
    <w:rsid w:val="30AA0D1F"/>
    <w:rsid w:val="30B260F5"/>
    <w:rsid w:val="30E33C68"/>
    <w:rsid w:val="30E34019"/>
    <w:rsid w:val="30EF6F14"/>
    <w:rsid w:val="30FB1AA8"/>
    <w:rsid w:val="31412E1B"/>
    <w:rsid w:val="315438F7"/>
    <w:rsid w:val="315933C6"/>
    <w:rsid w:val="316244E8"/>
    <w:rsid w:val="31691C58"/>
    <w:rsid w:val="316E002A"/>
    <w:rsid w:val="31BC3762"/>
    <w:rsid w:val="31D94622"/>
    <w:rsid w:val="31E97788"/>
    <w:rsid w:val="32021A6E"/>
    <w:rsid w:val="3211473C"/>
    <w:rsid w:val="321D18FA"/>
    <w:rsid w:val="323C4645"/>
    <w:rsid w:val="325B5588"/>
    <w:rsid w:val="328F4D9A"/>
    <w:rsid w:val="329308B5"/>
    <w:rsid w:val="32940192"/>
    <w:rsid w:val="32A23103"/>
    <w:rsid w:val="32AD00A2"/>
    <w:rsid w:val="32CA61F0"/>
    <w:rsid w:val="32CE4BB1"/>
    <w:rsid w:val="32DE7B3B"/>
    <w:rsid w:val="32F23A0D"/>
    <w:rsid w:val="32F41E1C"/>
    <w:rsid w:val="32F74522"/>
    <w:rsid w:val="331733B6"/>
    <w:rsid w:val="331F74EF"/>
    <w:rsid w:val="33254F2C"/>
    <w:rsid w:val="33271732"/>
    <w:rsid w:val="332D1F82"/>
    <w:rsid w:val="333B756C"/>
    <w:rsid w:val="333F2807"/>
    <w:rsid w:val="334C54A3"/>
    <w:rsid w:val="334E620E"/>
    <w:rsid w:val="335915B0"/>
    <w:rsid w:val="335C5797"/>
    <w:rsid w:val="3361036C"/>
    <w:rsid w:val="337F0619"/>
    <w:rsid w:val="338C5B19"/>
    <w:rsid w:val="33A84E4D"/>
    <w:rsid w:val="33A944FB"/>
    <w:rsid w:val="33B3530A"/>
    <w:rsid w:val="33B57EB9"/>
    <w:rsid w:val="33B92B69"/>
    <w:rsid w:val="33D26E92"/>
    <w:rsid w:val="33D613EB"/>
    <w:rsid w:val="33E1253F"/>
    <w:rsid w:val="33E7434F"/>
    <w:rsid w:val="340F6385"/>
    <w:rsid w:val="34143946"/>
    <w:rsid w:val="341961E6"/>
    <w:rsid w:val="34237494"/>
    <w:rsid w:val="34267A1B"/>
    <w:rsid w:val="342C1C45"/>
    <w:rsid w:val="3430596F"/>
    <w:rsid w:val="34383243"/>
    <w:rsid w:val="3440181B"/>
    <w:rsid w:val="345F76AC"/>
    <w:rsid w:val="346A0FD0"/>
    <w:rsid w:val="348A0A63"/>
    <w:rsid w:val="349F3894"/>
    <w:rsid w:val="34A52A15"/>
    <w:rsid w:val="34D64492"/>
    <w:rsid w:val="34D713BB"/>
    <w:rsid w:val="34DC7047"/>
    <w:rsid w:val="34F20EA2"/>
    <w:rsid w:val="350C7643"/>
    <w:rsid w:val="3512750B"/>
    <w:rsid w:val="35274BD4"/>
    <w:rsid w:val="352969D0"/>
    <w:rsid w:val="352D0A8B"/>
    <w:rsid w:val="35301D1C"/>
    <w:rsid w:val="35340772"/>
    <w:rsid w:val="353731B8"/>
    <w:rsid w:val="355901DD"/>
    <w:rsid w:val="356A2647"/>
    <w:rsid w:val="356F4778"/>
    <w:rsid w:val="3589193E"/>
    <w:rsid w:val="359922DC"/>
    <w:rsid w:val="359F0D05"/>
    <w:rsid w:val="35A32344"/>
    <w:rsid w:val="35B620EC"/>
    <w:rsid w:val="35BB3F6F"/>
    <w:rsid w:val="35D65950"/>
    <w:rsid w:val="35E54622"/>
    <w:rsid w:val="35F970E2"/>
    <w:rsid w:val="35FB3F2C"/>
    <w:rsid w:val="35FF5FA6"/>
    <w:rsid w:val="360546BE"/>
    <w:rsid w:val="36107575"/>
    <w:rsid w:val="361100CA"/>
    <w:rsid w:val="361D2C3D"/>
    <w:rsid w:val="362102EC"/>
    <w:rsid w:val="363A6600"/>
    <w:rsid w:val="364F7A09"/>
    <w:rsid w:val="367E0E4A"/>
    <w:rsid w:val="368637B1"/>
    <w:rsid w:val="368F1295"/>
    <w:rsid w:val="36940D18"/>
    <w:rsid w:val="36B57888"/>
    <w:rsid w:val="36E153DC"/>
    <w:rsid w:val="371501DE"/>
    <w:rsid w:val="37155B18"/>
    <w:rsid w:val="37167010"/>
    <w:rsid w:val="372A0F6A"/>
    <w:rsid w:val="37505700"/>
    <w:rsid w:val="37536EAE"/>
    <w:rsid w:val="37E04CBD"/>
    <w:rsid w:val="37F37544"/>
    <w:rsid w:val="37FF3BD6"/>
    <w:rsid w:val="380B5D8F"/>
    <w:rsid w:val="38132D92"/>
    <w:rsid w:val="3822688F"/>
    <w:rsid w:val="382D1516"/>
    <w:rsid w:val="38476EA9"/>
    <w:rsid w:val="384777BB"/>
    <w:rsid w:val="38727D40"/>
    <w:rsid w:val="389F23E5"/>
    <w:rsid w:val="38BF27CF"/>
    <w:rsid w:val="38C32D98"/>
    <w:rsid w:val="38C81CAD"/>
    <w:rsid w:val="38E27D78"/>
    <w:rsid w:val="38EE2BD1"/>
    <w:rsid w:val="39113F01"/>
    <w:rsid w:val="391E4DE5"/>
    <w:rsid w:val="392917AF"/>
    <w:rsid w:val="39717D4D"/>
    <w:rsid w:val="39830E01"/>
    <w:rsid w:val="39856166"/>
    <w:rsid w:val="398D2547"/>
    <w:rsid w:val="3997440C"/>
    <w:rsid w:val="399A66DD"/>
    <w:rsid w:val="399C000D"/>
    <w:rsid w:val="39B07681"/>
    <w:rsid w:val="39B27340"/>
    <w:rsid w:val="39B3171B"/>
    <w:rsid w:val="39BC232D"/>
    <w:rsid w:val="39E27EB4"/>
    <w:rsid w:val="39FA6877"/>
    <w:rsid w:val="39FE4031"/>
    <w:rsid w:val="3A015456"/>
    <w:rsid w:val="3A0750C7"/>
    <w:rsid w:val="3A1E68BD"/>
    <w:rsid w:val="3A3F6685"/>
    <w:rsid w:val="3A4000D9"/>
    <w:rsid w:val="3A4521CA"/>
    <w:rsid w:val="3A49509F"/>
    <w:rsid w:val="3A4C2FCE"/>
    <w:rsid w:val="3A612DE5"/>
    <w:rsid w:val="3A660034"/>
    <w:rsid w:val="3A7969EC"/>
    <w:rsid w:val="3A7D77A0"/>
    <w:rsid w:val="3A814008"/>
    <w:rsid w:val="3A875AD9"/>
    <w:rsid w:val="3A927C61"/>
    <w:rsid w:val="3AA05D26"/>
    <w:rsid w:val="3AAE52D9"/>
    <w:rsid w:val="3ACA4944"/>
    <w:rsid w:val="3AD05CB0"/>
    <w:rsid w:val="3AD47FDF"/>
    <w:rsid w:val="3AD52E9F"/>
    <w:rsid w:val="3AE66485"/>
    <w:rsid w:val="3AF4735F"/>
    <w:rsid w:val="3AF74F0E"/>
    <w:rsid w:val="3AFD3E8E"/>
    <w:rsid w:val="3B0B7F6D"/>
    <w:rsid w:val="3B1A038D"/>
    <w:rsid w:val="3B222B86"/>
    <w:rsid w:val="3B2D69B8"/>
    <w:rsid w:val="3B457282"/>
    <w:rsid w:val="3B6B075E"/>
    <w:rsid w:val="3B6E2C02"/>
    <w:rsid w:val="3B9B2C42"/>
    <w:rsid w:val="3BBA1B6C"/>
    <w:rsid w:val="3BE673EC"/>
    <w:rsid w:val="3BEC4A0F"/>
    <w:rsid w:val="3BF550DA"/>
    <w:rsid w:val="3BF765EC"/>
    <w:rsid w:val="3C085BD9"/>
    <w:rsid w:val="3C296B3D"/>
    <w:rsid w:val="3C59682E"/>
    <w:rsid w:val="3C662E18"/>
    <w:rsid w:val="3C6E32A4"/>
    <w:rsid w:val="3C747A13"/>
    <w:rsid w:val="3C7C694C"/>
    <w:rsid w:val="3C9E7A44"/>
    <w:rsid w:val="3CAA420B"/>
    <w:rsid w:val="3CB15178"/>
    <w:rsid w:val="3CB872DE"/>
    <w:rsid w:val="3CC52689"/>
    <w:rsid w:val="3CD06218"/>
    <w:rsid w:val="3CD32522"/>
    <w:rsid w:val="3CD558B1"/>
    <w:rsid w:val="3CEA6298"/>
    <w:rsid w:val="3D1A39DF"/>
    <w:rsid w:val="3D2637E2"/>
    <w:rsid w:val="3D3263EC"/>
    <w:rsid w:val="3D631C80"/>
    <w:rsid w:val="3D692B06"/>
    <w:rsid w:val="3D755E2C"/>
    <w:rsid w:val="3D8F35D4"/>
    <w:rsid w:val="3D8F386B"/>
    <w:rsid w:val="3DA31BAA"/>
    <w:rsid w:val="3DA53D6A"/>
    <w:rsid w:val="3DA821DD"/>
    <w:rsid w:val="3DA91092"/>
    <w:rsid w:val="3DAA0E17"/>
    <w:rsid w:val="3DAC0DEC"/>
    <w:rsid w:val="3DC24D75"/>
    <w:rsid w:val="3DD869E0"/>
    <w:rsid w:val="3DE2791A"/>
    <w:rsid w:val="3DEE3015"/>
    <w:rsid w:val="3DF96E3A"/>
    <w:rsid w:val="3DFF6BDC"/>
    <w:rsid w:val="3E2117EC"/>
    <w:rsid w:val="3E217E18"/>
    <w:rsid w:val="3E6D48DD"/>
    <w:rsid w:val="3E8435E3"/>
    <w:rsid w:val="3E926A99"/>
    <w:rsid w:val="3EB20B34"/>
    <w:rsid w:val="3EC0586C"/>
    <w:rsid w:val="3EC96F52"/>
    <w:rsid w:val="3ED956BE"/>
    <w:rsid w:val="3EEA1EF3"/>
    <w:rsid w:val="3EED3326"/>
    <w:rsid w:val="3EFF5662"/>
    <w:rsid w:val="3F1C5CAE"/>
    <w:rsid w:val="3F3556B8"/>
    <w:rsid w:val="3F4602FB"/>
    <w:rsid w:val="3F50250C"/>
    <w:rsid w:val="3F5778E8"/>
    <w:rsid w:val="3F84768E"/>
    <w:rsid w:val="3FA00195"/>
    <w:rsid w:val="3FA45E02"/>
    <w:rsid w:val="3FAD626E"/>
    <w:rsid w:val="3FD55222"/>
    <w:rsid w:val="3FE6300C"/>
    <w:rsid w:val="3FF87264"/>
    <w:rsid w:val="400849B2"/>
    <w:rsid w:val="400B78FF"/>
    <w:rsid w:val="401D636B"/>
    <w:rsid w:val="4043016C"/>
    <w:rsid w:val="406B5BD7"/>
    <w:rsid w:val="40844A74"/>
    <w:rsid w:val="40A2012D"/>
    <w:rsid w:val="40AA4297"/>
    <w:rsid w:val="40C93C2C"/>
    <w:rsid w:val="40CC4402"/>
    <w:rsid w:val="40CF248F"/>
    <w:rsid w:val="410267CF"/>
    <w:rsid w:val="411941A7"/>
    <w:rsid w:val="412D17A7"/>
    <w:rsid w:val="413B7A68"/>
    <w:rsid w:val="41420895"/>
    <w:rsid w:val="4146033A"/>
    <w:rsid w:val="414F2940"/>
    <w:rsid w:val="415212A6"/>
    <w:rsid w:val="415F49A9"/>
    <w:rsid w:val="416869A2"/>
    <w:rsid w:val="418A5922"/>
    <w:rsid w:val="419507B0"/>
    <w:rsid w:val="419559F2"/>
    <w:rsid w:val="41966D0A"/>
    <w:rsid w:val="41C9379D"/>
    <w:rsid w:val="41CC4198"/>
    <w:rsid w:val="41D34286"/>
    <w:rsid w:val="41D73D30"/>
    <w:rsid w:val="420578A7"/>
    <w:rsid w:val="42287121"/>
    <w:rsid w:val="423226CF"/>
    <w:rsid w:val="426B2108"/>
    <w:rsid w:val="427B18CD"/>
    <w:rsid w:val="42806636"/>
    <w:rsid w:val="42B71B61"/>
    <w:rsid w:val="42F21808"/>
    <w:rsid w:val="43002094"/>
    <w:rsid w:val="43084968"/>
    <w:rsid w:val="43121B0F"/>
    <w:rsid w:val="431A4EB4"/>
    <w:rsid w:val="43207F9F"/>
    <w:rsid w:val="434A1CA6"/>
    <w:rsid w:val="435070E5"/>
    <w:rsid w:val="43545B7B"/>
    <w:rsid w:val="435606E0"/>
    <w:rsid w:val="435A43DE"/>
    <w:rsid w:val="43654EE0"/>
    <w:rsid w:val="436F1EDB"/>
    <w:rsid w:val="43832355"/>
    <w:rsid w:val="43855937"/>
    <w:rsid w:val="439865BE"/>
    <w:rsid w:val="439D3315"/>
    <w:rsid w:val="439E6090"/>
    <w:rsid w:val="43AA3793"/>
    <w:rsid w:val="43BB1503"/>
    <w:rsid w:val="43CA0E3F"/>
    <w:rsid w:val="43DA0DDE"/>
    <w:rsid w:val="43DB286E"/>
    <w:rsid w:val="43DB57E2"/>
    <w:rsid w:val="43E0737D"/>
    <w:rsid w:val="43E26BF6"/>
    <w:rsid w:val="43EA514C"/>
    <w:rsid w:val="43EF0CF0"/>
    <w:rsid w:val="43F92031"/>
    <w:rsid w:val="44106185"/>
    <w:rsid w:val="442A5A15"/>
    <w:rsid w:val="442F1C73"/>
    <w:rsid w:val="443A0F91"/>
    <w:rsid w:val="44406426"/>
    <w:rsid w:val="44A6576F"/>
    <w:rsid w:val="44BF00CD"/>
    <w:rsid w:val="44D01B63"/>
    <w:rsid w:val="44D11CFA"/>
    <w:rsid w:val="44EB74C2"/>
    <w:rsid w:val="450A0A98"/>
    <w:rsid w:val="450C5AD8"/>
    <w:rsid w:val="452803B1"/>
    <w:rsid w:val="452F748D"/>
    <w:rsid w:val="45335FE1"/>
    <w:rsid w:val="4557254B"/>
    <w:rsid w:val="455730E3"/>
    <w:rsid w:val="455A6F7C"/>
    <w:rsid w:val="455B1156"/>
    <w:rsid w:val="45615501"/>
    <w:rsid w:val="456C4A00"/>
    <w:rsid w:val="4576312C"/>
    <w:rsid w:val="457A02D2"/>
    <w:rsid w:val="4598072C"/>
    <w:rsid w:val="45AA6BF5"/>
    <w:rsid w:val="45AE6214"/>
    <w:rsid w:val="45D1609B"/>
    <w:rsid w:val="45D24EF1"/>
    <w:rsid w:val="45DE579C"/>
    <w:rsid w:val="45E578B3"/>
    <w:rsid w:val="45EB50C1"/>
    <w:rsid w:val="45F03524"/>
    <w:rsid w:val="460C17DD"/>
    <w:rsid w:val="462823E5"/>
    <w:rsid w:val="46347065"/>
    <w:rsid w:val="46403ED5"/>
    <w:rsid w:val="46560D43"/>
    <w:rsid w:val="46633FE3"/>
    <w:rsid w:val="468F011D"/>
    <w:rsid w:val="469640D2"/>
    <w:rsid w:val="469D1308"/>
    <w:rsid w:val="469D4A4E"/>
    <w:rsid w:val="46A06F84"/>
    <w:rsid w:val="46A71032"/>
    <w:rsid w:val="46BA4CF3"/>
    <w:rsid w:val="46C619E8"/>
    <w:rsid w:val="46C6256D"/>
    <w:rsid w:val="46E1312D"/>
    <w:rsid w:val="46E43002"/>
    <w:rsid w:val="46ED2407"/>
    <w:rsid w:val="46F40C50"/>
    <w:rsid w:val="46F54AD4"/>
    <w:rsid w:val="47085549"/>
    <w:rsid w:val="470B52C8"/>
    <w:rsid w:val="47101F20"/>
    <w:rsid w:val="4720474D"/>
    <w:rsid w:val="475D27B8"/>
    <w:rsid w:val="478A4680"/>
    <w:rsid w:val="47BD361A"/>
    <w:rsid w:val="47C62491"/>
    <w:rsid w:val="47CA0DD5"/>
    <w:rsid w:val="47CD61BD"/>
    <w:rsid w:val="47D3765D"/>
    <w:rsid w:val="47F463DE"/>
    <w:rsid w:val="47FA0A18"/>
    <w:rsid w:val="47FD14A4"/>
    <w:rsid w:val="48043F47"/>
    <w:rsid w:val="480F5CC6"/>
    <w:rsid w:val="48123EFD"/>
    <w:rsid w:val="482565B6"/>
    <w:rsid w:val="484D2622"/>
    <w:rsid w:val="48511591"/>
    <w:rsid w:val="48546986"/>
    <w:rsid w:val="48627946"/>
    <w:rsid w:val="4868638A"/>
    <w:rsid w:val="486E4AFA"/>
    <w:rsid w:val="489B5671"/>
    <w:rsid w:val="489F3706"/>
    <w:rsid w:val="48A807B9"/>
    <w:rsid w:val="48B733C4"/>
    <w:rsid w:val="48EE3B7A"/>
    <w:rsid w:val="48F13107"/>
    <w:rsid w:val="48FB01C0"/>
    <w:rsid w:val="49172611"/>
    <w:rsid w:val="491B6650"/>
    <w:rsid w:val="491F5978"/>
    <w:rsid w:val="4934123D"/>
    <w:rsid w:val="49426D81"/>
    <w:rsid w:val="494614E0"/>
    <w:rsid w:val="4946760E"/>
    <w:rsid w:val="498E4072"/>
    <w:rsid w:val="499833AA"/>
    <w:rsid w:val="49A46E71"/>
    <w:rsid w:val="49B03007"/>
    <w:rsid w:val="49DB6509"/>
    <w:rsid w:val="49DC7A4B"/>
    <w:rsid w:val="49ED70EF"/>
    <w:rsid w:val="49FB7771"/>
    <w:rsid w:val="4A0317EC"/>
    <w:rsid w:val="4A067202"/>
    <w:rsid w:val="4A1F6B8B"/>
    <w:rsid w:val="4A27187C"/>
    <w:rsid w:val="4A3A7958"/>
    <w:rsid w:val="4A3D2319"/>
    <w:rsid w:val="4A424F4F"/>
    <w:rsid w:val="4A6A766C"/>
    <w:rsid w:val="4A6C5CD9"/>
    <w:rsid w:val="4A832C0A"/>
    <w:rsid w:val="4A935488"/>
    <w:rsid w:val="4AA47FDF"/>
    <w:rsid w:val="4AAC05EF"/>
    <w:rsid w:val="4AB923BF"/>
    <w:rsid w:val="4AC36577"/>
    <w:rsid w:val="4AD36547"/>
    <w:rsid w:val="4AE0139D"/>
    <w:rsid w:val="4AEE438C"/>
    <w:rsid w:val="4B0F08F0"/>
    <w:rsid w:val="4B13136B"/>
    <w:rsid w:val="4B163F3A"/>
    <w:rsid w:val="4B260EC9"/>
    <w:rsid w:val="4B4C50BB"/>
    <w:rsid w:val="4B580590"/>
    <w:rsid w:val="4B647335"/>
    <w:rsid w:val="4B783852"/>
    <w:rsid w:val="4BEA1320"/>
    <w:rsid w:val="4BF47773"/>
    <w:rsid w:val="4C302607"/>
    <w:rsid w:val="4C307608"/>
    <w:rsid w:val="4C3414B9"/>
    <w:rsid w:val="4C373098"/>
    <w:rsid w:val="4C4C0BC5"/>
    <w:rsid w:val="4C5727FA"/>
    <w:rsid w:val="4C606508"/>
    <w:rsid w:val="4C662843"/>
    <w:rsid w:val="4C673BB1"/>
    <w:rsid w:val="4C6D2199"/>
    <w:rsid w:val="4C9C0F1E"/>
    <w:rsid w:val="4C9C41E3"/>
    <w:rsid w:val="4CA54F3E"/>
    <w:rsid w:val="4CA845C0"/>
    <w:rsid w:val="4CD72882"/>
    <w:rsid w:val="4D267674"/>
    <w:rsid w:val="4D3A3FC4"/>
    <w:rsid w:val="4D431BAA"/>
    <w:rsid w:val="4D56570C"/>
    <w:rsid w:val="4D6A0350"/>
    <w:rsid w:val="4D885499"/>
    <w:rsid w:val="4D9964EA"/>
    <w:rsid w:val="4DA722C2"/>
    <w:rsid w:val="4DAB0D50"/>
    <w:rsid w:val="4DAD4AC6"/>
    <w:rsid w:val="4DAF3636"/>
    <w:rsid w:val="4DD012BB"/>
    <w:rsid w:val="4DE94216"/>
    <w:rsid w:val="4DF642D6"/>
    <w:rsid w:val="4DF77026"/>
    <w:rsid w:val="4E0965B6"/>
    <w:rsid w:val="4E0F6958"/>
    <w:rsid w:val="4E1A150C"/>
    <w:rsid w:val="4E1B2346"/>
    <w:rsid w:val="4E3560D5"/>
    <w:rsid w:val="4E3D2D11"/>
    <w:rsid w:val="4E492795"/>
    <w:rsid w:val="4E553773"/>
    <w:rsid w:val="4E557723"/>
    <w:rsid w:val="4E7D712F"/>
    <w:rsid w:val="4E8412B2"/>
    <w:rsid w:val="4E941D66"/>
    <w:rsid w:val="4EB57BF8"/>
    <w:rsid w:val="4EBB3698"/>
    <w:rsid w:val="4EBD44AF"/>
    <w:rsid w:val="4EBF1F35"/>
    <w:rsid w:val="4EC62A4A"/>
    <w:rsid w:val="4ECC0AD3"/>
    <w:rsid w:val="4ED43257"/>
    <w:rsid w:val="4ED55A87"/>
    <w:rsid w:val="4ED55CAE"/>
    <w:rsid w:val="4EEA0B90"/>
    <w:rsid w:val="4EEC6BC3"/>
    <w:rsid w:val="4EF10825"/>
    <w:rsid w:val="4EF2748D"/>
    <w:rsid w:val="4EF96F4E"/>
    <w:rsid w:val="4F08779C"/>
    <w:rsid w:val="4F105A52"/>
    <w:rsid w:val="4F157099"/>
    <w:rsid w:val="4F196A6C"/>
    <w:rsid w:val="4F243ADF"/>
    <w:rsid w:val="4F381E11"/>
    <w:rsid w:val="4F3D582C"/>
    <w:rsid w:val="4F4D6C67"/>
    <w:rsid w:val="4F62558B"/>
    <w:rsid w:val="4F876C67"/>
    <w:rsid w:val="4F970FBB"/>
    <w:rsid w:val="4FB64DCA"/>
    <w:rsid w:val="4FBA2471"/>
    <w:rsid w:val="4FCD492E"/>
    <w:rsid w:val="4FCD7F18"/>
    <w:rsid w:val="4FD0677A"/>
    <w:rsid w:val="4FD41506"/>
    <w:rsid w:val="4FD47036"/>
    <w:rsid w:val="500D4962"/>
    <w:rsid w:val="501F1578"/>
    <w:rsid w:val="50246F36"/>
    <w:rsid w:val="502D74A0"/>
    <w:rsid w:val="50391B98"/>
    <w:rsid w:val="50445B61"/>
    <w:rsid w:val="50501594"/>
    <w:rsid w:val="506733B6"/>
    <w:rsid w:val="506906AE"/>
    <w:rsid w:val="507218D8"/>
    <w:rsid w:val="507612E2"/>
    <w:rsid w:val="507E34D2"/>
    <w:rsid w:val="50887E11"/>
    <w:rsid w:val="50D11AD4"/>
    <w:rsid w:val="50E56D6F"/>
    <w:rsid w:val="50EF7CB4"/>
    <w:rsid w:val="51034999"/>
    <w:rsid w:val="510A3797"/>
    <w:rsid w:val="510C4F82"/>
    <w:rsid w:val="5115689A"/>
    <w:rsid w:val="51163A42"/>
    <w:rsid w:val="51272B72"/>
    <w:rsid w:val="512961A1"/>
    <w:rsid w:val="512E7AF3"/>
    <w:rsid w:val="51315009"/>
    <w:rsid w:val="5148313A"/>
    <w:rsid w:val="51AE63D7"/>
    <w:rsid w:val="51C7476C"/>
    <w:rsid w:val="52311A4B"/>
    <w:rsid w:val="5235110D"/>
    <w:rsid w:val="5259664A"/>
    <w:rsid w:val="525D0EC9"/>
    <w:rsid w:val="52697CB0"/>
    <w:rsid w:val="527B023F"/>
    <w:rsid w:val="529366D4"/>
    <w:rsid w:val="529A5DFF"/>
    <w:rsid w:val="52A61C57"/>
    <w:rsid w:val="52A65A40"/>
    <w:rsid w:val="52EE2C1D"/>
    <w:rsid w:val="52F05440"/>
    <w:rsid w:val="530A7149"/>
    <w:rsid w:val="5322349F"/>
    <w:rsid w:val="53237764"/>
    <w:rsid w:val="532A6A37"/>
    <w:rsid w:val="53394C1B"/>
    <w:rsid w:val="53515BC9"/>
    <w:rsid w:val="535C19B0"/>
    <w:rsid w:val="537A654E"/>
    <w:rsid w:val="537D4CB3"/>
    <w:rsid w:val="538E37F2"/>
    <w:rsid w:val="539C3490"/>
    <w:rsid w:val="539E762F"/>
    <w:rsid w:val="53A13655"/>
    <w:rsid w:val="53AD271F"/>
    <w:rsid w:val="53B11F80"/>
    <w:rsid w:val="53FC2405"/>
    <w:rsid w:val="54070E9C"/>
    <w:rsid w:val="541364A0"/>
    <w:rsid w:val="541C3C30"/>
    <w:rsid w:val="54530402"/>
    <w:rsid w:val="545D328E"/>
    <w:rsid w:val="546D6440"/>
    <w:rsid w:val="546F3BC5"/>
    <w:rsid w:val="54A35B80"/>
    <w:rsid w:val="54A475DC"/>
    <w:rsid w:val="54B36C30"/>
    <w:rsid w:val="54C36759"/>
    <w:rsid w:val="54CE26A4"/>
    <w:rsid w:val="54D16D9C"/>
    <w:rsid w:val="54D92923"/>
    <w:rsid w:val="54DC3F02"/>
    <w:rsid w:val="54E6788C"/>
    <w:rsid w:val="55044C2E"/>
    <w:rsid w:val="5509067E"/>
    <w:rsid w:val="551178F4"/>
    <w:rsid w:val="551E1C8F"/>
    <w:rsid w:val="55314C27"/>
    <w:rsid w:val="55384686"/>
    <w:rsid w:val="55546EF7"/>
    <w:rsid w:val="55647983"/>
    <w:rsid w:val="5567793D"/>
    <w:rsid w:val="556C4C06"/>
    <w:rsid w:val="5588140E"/>
    <w:rsid w:val="55885D4D"/>
    <w:rsid w:val="55B33B70"/>
    <w:rsid w:val="55CD5C9F"/>
    <w:rsid w:val="55D60722"/>
    <w:rsid w:val="55DA0C7A"/>
    <w:rsid w:val="55EE2A74"/>
    <w:rsid w:val="56031A5C"/>
    <w:rsid w:val="561E4CF3"/>
    <w:rsid w:val="5629452E"/>
    <w:rsid w:val="563033AA"/>
    <w:rsid w:val="564800D2"/>
    <w:rsid w:val="564F5474"/>
    <w:rsid w:val="56533EA1"/>
    <w:rsid w:val="56693221"/>
    <w:rsid w:val="566B46CE"/>
    <w:rsid w:val="567A6CC7"/>
    <w:rsid w:val="569011A6"/>
    <w:rsid w:val="56955B35"/>
    <w:rsid w:val="56A01E4E"/>
    <w:rsid w:val="56AD70EE"/>
    <w:rsid w:val="56C975DE"/>
    <w:rsid w:val="56DC20E2"/>
    <w:rsid w:val="56E4636E"/>
    <w:rsid w:val="57170A06"/>
    <w:rsid w:val="57201521"/>
    <w:rsid w:val="572447EF"/>
    <w:rsid w:val="572C68C1"/>
    <w:rsid w:val="573E4F0A"/>
    <w:rsid w:val="573F55D2"/>
    <w:rsid w:val="574A1F08"/>
    <w:rsid w:val="57573499"/>
    <w:rsid w:val="576C6D3A"/>
    <w:rsid w:val="57780B5F"/>
    <w:rsid w:val="57856E07"/>
    <w:rsid w:val="57865AF6"/>
    <w:rsid w:val="57884441"/>
    <w:rsid w:val="57993EFF"/>
    <w:rsid w:val="579E54F9"/>
    <w:rsid w:val="57AA0B0E"/>
    <w:rsid w:val="57BA59D4"/>
    <w:rsid w:val="57BB2BED"/>
    <w:rsid w:val="57BC080A"/>
    <w:rsid w:val="57CA363F"/>
    <w:rsid w:val="57D87EBA"/>
    <w:rsid w:val="57EA2AE3"/>
    <w:rsid w:val="57F4653C"/>
    <w:rsid w:val="58012B8B"/>
    <w:rsid w:val="58161382"/>
    <w:rsid w:val="58220111"/>
    <w:rsid w:val="587E30B9"/>
    <w:rsid w:val="58863D47"/>
    <w:rsid w:val="588A52AE"/>
    <w:rsid w:val="58925AF1"/>
    <w:rsid w:val="58A1236A"/>
    <w:rsid w:val="58B13473"/>
    <w:rsid w:val="58B64361"/>
    <w:rsid w:val="58EC1057"/>
    <w:rsid w:val="58F405D8"/>
    <w:rsid w:val="58FC1A24"/>
    <w:rsid w:val="590D4E39"/>
    <w:rsid w:val="591666C9"/>
    <w:rsid w:val="59281D08"/>
    <w:rsid w:val="592C3B4B"/>
    <w:rsid w:val="593710E8"/>
    <w:rsid w:val="59500764"/>
    <w:rsid w:val="595C48AF"/>
    <w:rsid w:val="5970475F"/>
    <w:rsid w:val="597047A6"/>
    <w:rsid w:val="59893794"/>
    <w:rsid w:val="59D27912"/>
    <w:rsid w:val="59EB277C"/>
    <w:rsid w:val="59EE737D"/>
    <w:rsid w:val="5A293AAC"/>
    <w:rsid w:val="5A2F57D9"/>
    <w:rsid w:val="5A302FFE"/>
    <w:rsid w:val="5A321016"/>
    <w:rsid w:val="5A5E37E3"/>
    <w:rsid w:val="5A740BF6"/>
    <w:rsid w:val="5A81238B"/>
    <w:rsid w:val="5A8545C4"/>
    <w:rsid w:val="5A901F57"/>
    <w:rsid w:val="5AB90918"/>
    <w:rsid w:val="5ACC057A"/>
    <w:rsid w:val="5AD55F75"/>
    <w:rsid w:val="5ADD5899"/>
    <w:rsid w:val="5ADD7C85"/>
    <w:rsid w:val="5ADF51F2"/>
    <w:rsid w:val="5B16625C"/>
    <w:rsid w:val="5B280925"/>
    <w:rsid w:val="5B2D41F1"/>
    <w:rsid w:val="5B3549AF"/>
    <w:rsid w:val="5B396306"/>
    <w:rsid w:val="5B5C6FCD"/>
    <w:rsid w:val="5B7430B7"/>
    <w:rsid w:val="5B8711D8"/>
    <w:rsid w:val="5B8A6CCB"/>
    <w:rsid w:val="5BC648CA"/>
    <w:rsid w:val="5BCE5608"/>
    <w:rsid w:val="5BD92166"/>
    <w:rsid w:val="5BD95CD3"/>
    <w:rsid w:val="5C0A65BE"/>
    <w:rsid w:val="5C275688"/>
    <w:rsid w:val="5C281628"/>
    <w:rsid w:val="5C3A0302"/>
    <w:rsid w:val="5C3E2C48"/>
    <w:rsid w:val="5C4822D4"/>
    <w:rsid w:val="5C4E235C"/>
    <w:rsid w:val="5C532BA5"/>
    <w:rsid w:val="5C55693B"/>
    <w:rsid w:val="5C561826"/>
    <w:rsid w:val="5C6000A4"/>
    <w:rsid w:val="5C6D090F"/>
    <w:rsid w:val="5C7E735E"/>
    <w:rsid w:val="5C953A4E"/>
    <w:rsid w:val="5C9A292F"/>
    <w:rsid w:val="5CB775A8"/>
    <w:rsid w:val="5CBA7D9C"/>
    <w:rsid w:val="5CCC60C6"/>
    <w:rsid w:val="5CCD5CDF"/>
    <w:rsid w:val="5CDD6099"/>
    <w:rsid w:val="5CDF546E"/>
    <w:rsid w:val="5CE7740D"/>
    <w:rsid w:val="5CEC1B6C"/>
    <w:rsid w:val="5CFA2A71"/>
    <w:rsid w:val="5D030EEE"/>
    <w:rsid w:val="5D0F09E4"/>
    <w:rsid w:val="5D1A38EC"/>
    <w:rsid w:val="5D2E3FC8"/>
    <w:rsid w:val="5D3172A9"/>
    <w:rsid w:val="5D3E51EC"/>
    <w:rsid w:val="5D42070C"/>
    <w:rsid w:val="5D68068E"/>
    <w:rsid w:val="5D796AAC"/>
    <w:rsid w:val="5D976EEC"/>
    <w:rsid w:val="5DB26898"/>
    <w:rsid w:val="5DC8074D"/>
    <w:rsid w:val="5DCA0A78"/>
    <w:rsid w:val="5DCB69F5"/>
    <w:rsid w:val="5DD11793"/>
    <w:rsid w:val="5DD47E86"/>
    <w:rsid w:val="5DE90F56"/>
    <w:rsid w:val="5E0C6609"/>
    <w:rsid w:val="5E0D2FB0"/>
    <w:rsid w:val="5E165E6D"/>
    <w:rsid w:val="5E1D4426"/>
    <w:rsid w:val="5E2037CF"/>
    <w:rsid w:val="5E2B190F"/>
    <w:rsid w:val="5E3D71AC"/>
    <w:rsid w:val="5E452AFB"/>
    <w:rsid w:val="5E457596"/>
    <w:rsid w:val="5E4D0765"/>
    <w:rsid w:val="5E550923"/>
    <w:rsid w:val="5E5A6E9D"/>
    <w:rsid w:val="5E8254A1"/>
    <w:rsid w:val="5E8717ED"/>
    <w:rsid w:val="5E8F0B44"/>
    <w:rsid w:val="5E9806CB"/>
    <w:rsid w:val="5E9973C8"/>
    <w:rsid w:val="5EC1175A"/>
    <w:rsid w:val="5ED51ADE"/>
    <w:rsid w:val="5EE04960"/>
    <w:rsid w:val="5EEC3488"/>
    <w:rsid w:val="5EF06536"/>
    <w:rsid w:val="5EF62943"/>
    <w:rsid w:val="5EF635F0"/>
    <w:rsid w:val="5F2B0A09"/>
    <w:rsid w:val="5F403D9D"/>
    <w:rsid w:val="5F5223FF"/>
    <w:rsid w:val="5F875A34"/>
    <w:rsid w:val="5F8D5E99"/>
    <w:rsid w:val="5F966ABD"/>
    <w:rsid w:val="5F9D714E"/>
    <w:rsid w:val="5FA0576E"/>
    <w:rsid w:val="5FE9376B"/>
    <w:rsid w:val="60046E35"/>
    <w:rsid w:val="60362D51"/>
    <w:rsid w:val="60441AFF"/>
    <w:rsid w:val="605A7C9E"/>
    <w:rsid w:val="606A5B2A"/>
    <w:rsid w:val="607C23DB"/>
    <w:rsid w:val="6080445F"/>
    <w:rsid w:val="60817BBC"/>
    <w:rsid w:val="60EB2C93"/>
    <w:rsid w:val="61007301"/>
    <w:rsid w:val="61031180"/>
    <w:rsid w:val="61111D51"/>
    <w:rsid w:val="611C5DB1"/>
    <w:rsid w:val="611F2EA9"/>
    <w:rsid w:val="612C1190"/>
    <w:rsid w:val="616468F8"/>
    <w:rsid w:val="61AE798F"/>
    <w:rsid w:val="61CF5854"/>
    <w:rsid w:val="61DF0FEA"/>
    <w:rsid w:val="61EB0C02"/>
    <w:rsid w:val="61FB6FC7"/>
    <w:rsid w:val="62253C05"/>
    <w:rsid w:val="62351783"/>
    <w:rsid w:val="623C77A1"/>
    <w:rsid w:val="624F3CFA"/>
    <w:rsid w:val="62527DA5"/>
    <w:rsid w:val="625F79DD"/>
    <w:rsid w:val="627C153F"/>
    <w:rsid w:val="629658FC"/>
    <w:rsid w:val="629C4DB1"/>
    <w:rsid w:val="62C264B4"/>
    <w:rsid w:val="62ED3276"/>
    <w:rsid w:val="62FA7112"/>
    <w:rsid w:val="62FB3199"/>
    <w:rsid w:val="63073801"/>
    <w:rsid w:val="6367735E"/>
    <w:rsid w:val="637D4DEB"/>
    <w:rsid w:val="637D52B0"/>
    <w:rsid w:val="638B6559"/>
    <w:rsid w:val="63945C3E"/>
    <w:rsid w:val="63C96D02"/>
    <w:rsid w:val="63D64BAB"/>
    <w:rsid w:val="63DE39B7"/>
    <w:rsid w:val="63E543C1"/>
    <w:rsid w:val="63EC3B7F"/>
    <w:rsid w:val="63F44D3A"/>
    <w:rsid w:val="64011C7F"/>
    <w:rsid w:val="640D76C0"/>
    <w:rsid w:val="64236CA4"/>
    <w:rsid w:val="642857AE"/>
    <w:rsid w:val="64374636"/>
    <w:rsid w:val="648B1BFD"/>
    <w:rsid w:val="64990D47"/>
    <w:rsid w:val="64AD23A7"/>
    <w:rsid w:val="64B10C2C"/>
    <w:rsid w:val="64B14820"/>
    <w:rsid w:val="64C0390D"/>
    <w:rsid w:val="64CF3FF6"/>
    <w:rsid w:val="64D8405B"/>
    <w:rsid w:val="64DB07C6"/>
    <w:rsid w:val="64E279F0"/>
    <w:rsid w:val="64EA220C"/>
    <w:rsid w:val="64EE61FF"/>
    <w:rsid w:val="6513399A"/>
    <w:rsid w:val="65152C15"/>
    <w:rsid w:val="65211E78"/>
    <w:rsid w:val="654E2FBF"/>
    <w:rsid w:val="65B15CE6"/>
    <w:rsid w:val="65BF63AB"/>
    <w:rsid w:val="65C24844"/>
    <w:rsid w:val="65C354CE"/>
    <w:rsid w:val="65C65E7B"/>
    <w:rsid w:val="65C80B6E"/>
    <w:rsid w:val="65CE38F7"/>
    <w:rsid w:val="65D97056"/>
    <w:rsid w:val="65E14825"/>
    <w:rsid w:val="65F75409"/>
    <w:rsid w:val="66057D75"/>
    <w:rsid w:val="66111B9D"/>
    <w:rsid w:val="662D64D2"/>
    <w:rsid w:val="663660EB"/>
    <w:rsid w:val="664843CC"/>
    <w:rsid w:val="666118DC"/>
    <w:rsid w:val="666461A6"/>
    <w:rsid w:val="66655661"/>
    <w:rsid w:val="667417F6"/>
    <w:rsid w:val="667A2188"/>
    <w:rsid w:val="667C0730"/>
    <w:rsid w:val="66946FBB"/>
    <w:rsid w:val="66D033D4"/>
    <w:rsid w:val="66D06E14"/>
    <w:rsid w:val="66DA1D2A"/>
    <w:rsid w:val="66E71B1D"/>
    <w:rsid w:val="67021C51"/>
    <w:rsid w:val="67097837"/>
    <w:rsid w:val="670F7D5E"/>
    <w:rsid w:val="67240C7C"/>
    <w:rsid w:val="67254DA5"/>
    <w:rsid w:val="67387E4A"/>
    <w:rsid w:val="673D2D5E"/>
    <w:rsid w:val="674A25E2"/>
    <w:rsid w:val="675168C7"/>
    <w:rsid w:val="67775CAC"/>
    <w:rsid w:val="67A517DB"/>
    <w:rsid w:val="67B334DC"/>
    <w:rsid w:val="67D94D2E"/>
    <w:rsid w:val="67E107BD"/>
    <w:rsid w:val="67F11ED6"/>
    <w:rsid w:val="6805118B"/>
    <w:rsid w:val="681A38D9"/>
    <w:rsid w:val="68572311"/>
    <w:rsid w:val="68625174"/>
    <w:rsid w:val="68760DEA"/>
    <w:rsid w:val="688D235C"/>
    <w:rsid w:val="68C80861"/>
    <w:rsid w:val="68D727A1"/>
    <w:rsid w:val="68E64FE6"/>
    <w:rsid w:val="68EF5DDE"/>
    <w:rsid w:val="690436D8"/>
    <w:rsid w:val="692674EA"/>
    <w:rsid w:val="69283F50"/>
    <w:rsid w:val="692C69F5"/>
    <w:rsid w:val="693844B8"/>
    <w:rsid w:val="693D5C60"/>
    <w:rsid w:val="693E64E7"/>
    <w:rsid w:val="69405848"/>
    <w:rsid w:val="694A0B24"/>
    <w:rsid w:val="694E5350"/>
    <w:rsid w:val="69840655"/>
    <w:rsid w:val="698C59F0"/>
    <w:rsid w:val="69BD2119"/>
    <w:rsid w:val="69BF3FA6"/>
    <w:rsid w:val="69CE74A4"/>
    <w:rsid w:val="69E95F81"/>
    <w:rsid w:val="69F94C66"/>
    <w:rsid w:val="6A0B4AFD"/>
    <w:rsid w:val="6A1870BD"/>
    <w:rsid w:val="6A2A1C37"/>
    <w:rsid w:val="6A3B4A23"/>
    <w:rsid w:val="6A4F63E1"/>
    <w:rsid w:val="6A847A9E"/>
    <w:rsid w:val="6AA413C9"/>
    <w:rsid w:val="6ABD55AD"/>
    <w:rsid w:val="6AC42377"/>
    <w:rsid w:val="6AF020B1"/>
    <w:rsid w:val="6AF34968"/>
    <w:rsid w:val="6AF3767D"/>
    <w:rsid w:val="6AF755A2"/>
    <w:rsid w:val="6B0B2D67"/>
    <w:rsid w:val="6B4D0E74"/>
    <w:rsid w:val="6B4F0D0F"/>
    <w:rsid w:val="6B5136E7"/>
    <w:rsid w:val="6B6B5ECA"/>
    <w:rsid w:val="6B6C570B"/>
    <w:rsid w:val="6B783FDC"/>
    <w:rsid w:val="6B876F24"/>
    <w:rsid w:val="6B922F7B"/>
    <w:rsid w:val="6B9675C5"/>
    <w:rsid w:val="6B9A3E75"/>
    <w:rsid w:val="6BAF3DC9"/>
    <w:rsid w:val="6BB24129"/>
    <w:rsid w:val="6BC849F9"/>
    <w:rsid w:val="6BD467FC"/>
    <w:rsid w:val="6BE02668"/>
    <w:rsid w:val="6BE218E6"/>
    <w:rsid w:val="6BEF7609"/>
    <w:rsid w:val="6BFA38B5"/>
    <w:rsid w:val="6C1F3B26"/>
    <w:rsid w:val="6C3469C9"/>
    <w:rsid w:val="6C5F1E1F"/>
    <w:rsid w:val="6C667106"/>
    <w:rsid w:val="6C6F50A9"/>
    <w:rsid w:val="6C7041BF"/>
    <w:rsid w:val="6C805459"/>
    <w:rsid w:val="6C907797"/>
    <w:rsid w:val="6CAB6091"/>
    <w:rsid w:val="6CC230A4"/>
    <w:rsid w:val="6CC53DEB"/>
    <w:rsid w:val="6CD95AB8"/>
    <w:rsid w:val="6CEA50A2"/>
    <w:rsid w:val="6D210E00"/>
    <w:rsid w:val="6D2A3429"/>
    <w:rsid w:val="6D2F4299"/>
    <w:rsid w:val="6D333DC6"/>
    <w:rsid w:val="6D384161"/>
    <w:rsid w:val="6D3C1778"/>
    <w:rsid w:val="6D434F9D"/>
    <w:rsid w:val="6D476879"/>
    <w:rsid w:val="6D4A46BB"/>
    <w:rsid w:val="6D5201F9"/>
    <w:rsid w:val="6D622565"/>
    <w:rsid w:val="6D9042B1"/>
    <w:rsid w:val="6D971367"/>
    <w:rsid w:val="6DA83AFA"/>
    <w:rsid w:val="6DA840C3"/>
    <w:rsid w:val="6DB27A3B"/>
    <w:rsid w:val="6DCA545B"/>
    <w:rsid w:val="6DE14724"/>
    <w:rsid w:val="6E082CAB"/>
    <w:rsid w:val="6E194DD5"/>
    <w:rsid w:val="6E2C7792"/>
    <w:rsid w:val="6E45635D"/>
    <w:rsid w:val="6E6B0590"/>
    <w:rsid w:val="6E7B7566"/>
    <w:rsid w:val="6E924DE8"/>
    <w:rsid w:val="6EA364E9"/>
    <w:rsid w:val="6EAD5420"/>
    <w:rsid w:val="6EB1034A"/>
    <w:rsid w:val="6EB46043"/>
    <w:rsid w:val="6ECE6828"/>
    <w:rsid w:val="6ED13EA2"/>
    <w:rsid w:val="6ED6172E"/>
    <w:rsid w:val="6F001C47"/>
    <w:rsid w:val="6F20670D"/>
    <w:rsid w:val="6F206E8C"/>
    <w:rsid w:val="6F33620A"/>
    <w:rsid w:val="6F416B95"/>
    <w:rsid w:val="6F420969"/>
    <w:rsid w:val="6F4259AD"/>
    <w:rsid w:val="6F590C2D"/>
    <w:rsid w:val="6F5C7892"/>
    <w:rsid w:val="6F5D1E28"/>
    <w:rsid w:val="6F7655C4"/>
    <w:rsid w:val="6F7800FE"/>
    <w:rsid w:val="6F7B7959"/>
    <w:rsid w:val="6F862A2D"/>
    <w:rsid w:val="6FA4640B"/>
    <w:rsid w:val="6FCF438D"/>
    <w:rsid w:val="6FD05AFF"/>
    <w:rsid w:val="6FD37BAC"/>
    <w:rsid w:val="6FD82DA3"/>
    <w:rsid w:val="6FEE7430"/>
    <w:rsid w:val="6FF165BF"/>
    <w:rsid w:val="6FF944CB"/>
    <w:rsid w:val="6FFE7E49"/>
    <w:rsid w:val="704165E1"/>
    <w:rsid w:val="70460DD2"/>
    <w:rsid w:val="704F5B2D"/>
    <w:rsid w:val="7069467B"/>
    <w:rsid w:val="70733F53"/>
    <w:rsid w:val="707A1CF5"/>
    <w:rsid w:val="708556B8"/>
    <w:rsid w:val="708639A7"/>
    <w:rsid w:val="708E6429"/>
    <w:rsid w:val="70E153DB"/>
    <w:rsid w:val="70E43FBF"/>
    <w:rsid w:val="70EB0325"/>
    <w:rsid w:val="71185FE1"/>
    <w:rsid w:val="71294C5D"/>
    <w:rsid w:val="712D10E0"/>
    <w:rsid w:val="71422839"/>
    <w:rsid w:val="71515C54"/>
    <w:rsid w:val="717D5C2A"/>
    <w:rsid w:val="7199551E"/>
    <w:rsid w:val="719F79B0"/>
    <w:rsid w:val="71A20F41"/>
    <w:rsid w:val="71A72AF0"/>
    <w:rsid w:val="71B279C0"/>
    <w:rsid w:val="71B905C0"/>
    <w:rsid w:val="71CE5372"/>
    <w:rsid w:val="71E768C2"/>
    <w:rsid w:val="71EE7A69"/>
    <w:rsid w:val="71F00988"/>
    <w:rsid w:val="721E014B"/>
    <w:rsid w:val="723A48A0"/>
    <w:rsid w:val="72403F1F"/>
    <w:rsid w:val="72437F8B"/>
    <w:rsid w:val="72457D96"/>
    <w:rsid w:val="724E5F64"/>
    <w:rsid w:val="724F3A3B"/>
    <w:rsid w:val="72533ED7"/>
    <w:rsid w:val="72630FEF"/>
    <w:rsid w:val="72746733"/>
    <w:rsid w:val="72812842"/>
    <w:rsid w:val="72984DF8"/>
    <w:rsid w:val="72A152A2"/>
    <w:rsid w:val="72BF19B3"/>
    <w:rsid w:val="72D559AD"/>
    <w:rsid w:val="72E30C7F"/>
    <w:rsid w:val="72F94194"/>
    <w:rsid w:val="73043E3F"/>
    <w:rsid w:val="730936E0"/>
    <w:rsid w:val="730971D0"/>
    <w:rsid w:val="731977F3"/>
    <w:rsid w:val="7337769F"/>
    <w:rsid w:val="7338789F"/>
    <w:rsid w:val="733D3E06"/>
    <w:rsid w:val="734A4AE6"/>
    <w:rsid w:val="734A6AA6"/>
    <w:rsid w:val="7351733F"/>
    <w:rsid w:val="73586838"/>
    <w:rsid w:val="73595E73"/>
    <w:rsid w:val="73771904"/>
    <w:rsid w:val="73BE4DF5"/>
    <w:rsid w:val="741203C8"/>
    <w:rsid w:val="74242B2D"/>
    <w:rsid w:val="742D6B13"/>
    <w:rsid w:val="7432466D"/>
    <w:rsid w:val="74447D18"/>
    <w:rsid w:val="7446632A"/>
    <w:rsid w:val="74521A5D"/>
    <w:rsid w:val="74563626"/>
    <w:rsid w:val="74697E69"/>
    <w:rsid w:val="747131BB"/>
    <w:rsid w:val="74753105"/>
    <w:rsid w:val="747E1420"/>
    <w:rsid w:val="748549B7"/>
    <w:rsid w:val="748B71DB"/>
    <w:rsid w:val="748C0B99"/>
    <w:rsid w:val="749724B9"/>
    <w:rsid w:val="74B55D10"/>
    <w:rsid w:val="74B70859"/>
    <w:rsid w:val="74F45D75"/>
    <w:rsid w:val="74FF51CE"/>
    <w:rsid w:val="7501267D"/>
    <w:rsid w:val="75073C41"/>
    <w:rsid w:val="75296BD9"/>
    <w:rsid w:val="752F7773"/>
    <w:rsid w:val="756458B1"/>
    <w:rsid w:val="7567025D"/>
    <w:rsid w:val="756D3E86"/>
    <w:rsid w:val="75716D25"/>
    <w:rsid w:val="757875D5"/>
    <w:rsid w:val="75824561"/>
    <w:rsid w:val="759F607C"/>
    <w:rsid w:val="75A7154A"/>
    <w:rsid w:val="75BC5488"/>
    <w:rsid w:val="75C816B2"/>
    <w:rsid w:val="75CF34C4"/>
    <w:rsid w:val="75EA2A13"/>
    <w:rsid w:val="75EB4A85"/>
    <w:rsid w:val="76020A07"/>
    <w:rsid w:val="76120196"/>
    <w:rsid w:val="76172844"/>
    <w:rsid w:val="762B7071"/>
    <w:rsid w:val="76517ABA"/>
    <w:rsid w:val="76592E52"/>
    <w:rsid w:val="766571C2"/>
    <w:rsid w:val="76674A08"/>
    <w:rsid w:val="766D792A"/>
    <w:rsid w:val="76826371"/>
    <w:rsid w:val="7691363E"/>
    <w:rsid w:val="76926936"/>
    <w:rsid w:val="76A35793"/>
    <w:rsid w:val="76B51078"/>
    <w:rsid w:val="76CA2AA7"/>
    <w:rsid w:val="770C1260"/>
    <w:rsid w:val="771866CA"/>
    <w:rsid w:val="771922C1"/>
    <w:rsid w:val="771E79BF"/>
    <w:rsid w:val="773C4086"/>
    <w:rsid w:val="774C2FF4"/>
    <w:rsid w:val="774E33C8"/>
    <w:rsid w:val="7756677A"/>
    <w:rsid w:val="77601733"/>
    <w:rsid w:val="77633CDF"/>
    <w:rsid w:val="776C3A0B"/>
    <w:rsid w:val="77707E62"/>
    <w:rsid w:val="77764EDB"/>
    <w:rsid w:val="77781C39"/>
    <w:rsid w:val="779D493C"/>
    <w:rsid w:val="77A63161"/>
    <w:rsid w:val="77BD1A4F"/>
    <w:rsid w:val="77DB44AA"/>
    <w:rsid w:val="77DE24AA"/>
    <w:rsid w:val="77F82870"/>
    <w:rsid w:val="780048EE"/>
    <w:rsid w:val="780F16FC"/>
    <w:rsid w:val="781362B2"/>
    <w:rsid w:val="7815400D"/>
    <w:rsid w:val="781E0715"/>
    <w:rsid w:val="78254EE2"/>
    <w:rsid w:val="783249C6"/>
    <w:rsid w:val="78385E42"/>
    <w:rsid w:val="783D276A"/>
    <w:rsid w:val="784B4DD8"/>
    <w:rsid w:val="785822F1"/>
    <w:rsid w:val="78757AB5"/>
    <w:rsid w:val="787F3343"/>
    <w:rsid w:val="78874956"/>
    <w:rsid w:val="788B7386"/>
    <w:rsid w:val="78904985"/>
    <w:rsid w:val="78966694"/>
    <w:rsid w:val="78AB5C43"/>
    <w:rsid w:val="78D50A0E"/>
    <w:rsid w:val="78DE298D"/>
    <w:rsid w:val="78E800B8"/>
    <w:rsid w:val="78F45691"/>
    <w:rsid w:val="78FB3070"/>
    <w:rsid w:val="790B10F2"/>
    <w:rsid w:val="79145815"/>
    <w:rsid w:val="792167EA"/>
    <w:rsid w:val="792E56B4"/>
    <w:rsid w:val="7933361D"/>
    <w:rsid w:val="796179EF"/>
    <w:rsid w:val="796D7DE1"/>
    <w:rsid w:val="796F32A2"/>
    <w:rsid w:val="797B307C"/>
    <w:rsid w:val="7981136A"/>
    <w:rsid w:val="798177ED"/>
    <w:rsid w:val="79AE5D71"/>
    <w:rsid w:val="79E7763B"/>
    <w:rsid w:val="7A25148A"/>
    <w:rsid w:val="7A301B34"/>
    <w:rsid w:val="7A3D3FD5"/>
    <w:rsid w:val="7A4E520C"/>
    <w:rsid w:val="7A741FB5"/>
    <w:rsid w:val="7A8D1B84"/>
    <w:rsid w:val="7A8D678E"/>
    <w:rsid w:val="7AD81093"/>
    <w:rsid w:val="7AEA7616"/>
    <w:rsid w:val="7B00166E"/>
    <w:rsid w:val="7B196709"/>
    <w:rsid w:val="7B5F2D56"/>
    <w:rsid w:val="7B646E38"/>
    <w:rsid w:val="7B7457D0"/>
    <w:rsid w:val="7BBB6CBC"/>
    <w:rsid w:val="7BE074DC"/>
    <w:rsid w:val="7BFB51FE"/>
    <w:rsid w:val="7BFE37B9"/>
    <w:rsid w:val="7C000401"/>
    <w:rsid w:val="7C0B677A"/>
    <w:rsid w:val="7C0F06D6"/>
    <w:rsid w:val="7C1D0E9C"/>
    <w:rsid w:val="7C2D6263"/>
    <w:rsid w:val="7C376A3B"/>
    <w:rsid w:val="7C417552"/>
    <w:rsid w:val="7C476872"/>
    <w:rsid w:val="7C515881"/>
    <w:rsid w:val="7C866EFE"/>
    <w:rsid w:val="7C940282"/>
    <w:rsid w:val="7CBF2600"/>
    <w:rsid w:val="7CD640A2"/>
    <w:rsid w:val="7CDA0EE7"/>
    <w:rsid w:val="7CEE1FD3"/>
    <w:rsid w:val="7CF9134A"/>
    <w:rsid w:val="7D062F15"/>
    <w:rsid w:val="7D134390"/>
    <w:rsid w:val="7D1F6BD7"/>
    <w:rsid w:val="7D3533F7"/>
    <w:rsid w:val="7D623BAF"/>
    <w:rsid w:val="7D653516"/>
    <w:rsid w:val="7D6853B2"/>
    <w:rsid w:val="7D6869C6"/>
    <w:rsid w:val="7D6C0E17"/>
    <w:rsid w:val="7D9112D6"/>
    <w:rsid w:val="7D9A5180"/>
    <w:rsid w:val="7DB5670D"/>
    <w:rsid w:val="7DBA7854"/>
    <w:rsid w:val="7DF43174"/>
    <w:rsid w:val="7E016B5F"/>
    <w:rsid w:val="7E0F51A9"/>
    <w:rsid w:val="7E1352BE"/>
    <w:rsid w:val="7E1E7508"/>
    <w:rsid w:val="7E2257AD"/>
    <w:rsid w:val="7E3C434B"/>
    <w:rsid w:val="7E427C80"/>
    <w:rsid w:val="7E456679"/>
    <w:rsid w:val="7E471022"/>
    <w:rsid w:val="7E4F49A7"/>
    <w:rsid w:val="7E545CE0"/>
    <w:rsid w:val="7E62219A"/>
    <w:rsid w:val="7E6D0391"/>
    <w:rsid w:val="7E7E4B34"/>
    <w:rsid w:val="7E885133"/>
    <w:rsid w:val="7E895050"/>
    <w:rsid w:val="7E8D663F"/>
    <w:rsid w:val="7E9115EF"/>
    <w:rsid w:val="7E941A99"/>
    <w:rsid w:val="7ED30C0C"/>
    <w:rsid w:val="7EF127D4"/>
    <w:rsid w:val="7F005EF6"/>
    <w:rsid w:val="7F25635B"/>
    <w:rsid w:val="7F257EA7"/>
    <w:rsid w:val="7F266433"/>
    <w:rsid w:val="7F3C0A6B"/>
    <w:rsid w:val="7F3D7AF6"/>
    <w:rsid w:val="7F3F79E5"/>
    <w:rsid w:val="7F4245BE"/>
    <w:rsid w:val="7F5E340E"/>
    <w:rsid w:val="7F7C4195"/>
    <w:rsid w:val="7F902275"/>
    <w:rsid w:val="7FA0420F"/>
    <w:rsid w:val="7FA80B96"/>
    <w:rsid w:val="7FAA2964"/>
    <w:rsid w:val="7FBD5C2A"/>
    <w:rsid w:val="7FC13DA6"/>
    <w:rsid w:val="7FD33CBE"/>
    <w:rsid w:val="7FEB0680"/>
    <w:rsid w:val="7FFA184F"/>
    <w:rsid w:val="7FFF0F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24"/>
      <w:lang w:val="en-US" w:eastAsia="zh-CN" w:bidi="ar-SA"/>
    </w:rPr>
  </w:style>
  <w:style w:type="paragraph" w:styleId="3">
    <w:name w:val="heading 1"/>
    <w:basedOn w:val="1"/>
    <w:next w:val="1"/>
    <w:qFormat/>
    <w:uiPriority w:val="0"/>
    <w:pPr>
      <w:keepNext/>
      <w:tabs>
        <w:tab w:val="left" w:pos="3360"/>
      </w:tabs>
      <w:snapToGrid w:val="0"/>
      <w:spacing w:beforeLines="50" w:afterLines="50" w:line="800" w:lineRule="atLeast"/>
      <w:jc w:val="center"/>
      <w:outlineLvl w:val="0"/>
    </w:pPr>
    <w:rPr>
      <w:rFonts w:eastAsia="方正小标宋简体"/>
      <w:sz w:val="44"/>
    </w:rPr>
  </w:style>
  <w:style w:type="paragraph" w:styleId="2">
    <w:name w:val="heading 2"/>
    <w:basedOn w:val="1"/>
    <w:next w:val="1"/>
    <w:link w:val="37"/>
    <w:qFormat/>
    <w:uiPriority w:val="0"/>
    <w:pPr>
      <w:keepNext/>
      <w:keepLines/>
      <w:adjustRightInd w:val="0"/>
      <w:snapToGrid w:val="0"/>
      <w:ind w:firstLine="200" w:firstLineChars="200"/>
      <w:jc w:val="left"/>
      <w:outlineLvl w:val="1"/>
    </w:pPr>
    <w:rPr>
      <w:rFonts w:ascii="宋体" w:hAnsi="宋体"/>
      <w:b/>
      <w:color w:val="943734"/>
      <w:kern w:val="0"/>
      <w:sz w:val="28"/>
    </w:rPr>
  </w:style>
  <w:style w:type="paragraph" w:styleId="4">
    <w:name w:val="heading 3"/>
    <w:basedOn w:val="1"/>
    <w:next w:val="1"/>
    <w:qFormat/>
    <w:uiPriority w:val="0"/>
    <w:pPr>
      <w:keepNext/>
      <w:keepLines/>
      <w:spacing w:line="560" w:lineRule="exact"/>
      <w:outlineLvl w:val="2"/>
    </w:pPr>
    <w:rPr>
      <w:rFonts w:eastAsia="方正楷体_GBK"/>
      <w:b/>
      <w:bCs/>
      <w:szCs w:val="32"/>
    </w:rPr>
  </w:style>
  <w:style w:type="character" w:default="1" w:styleId="26">
    <w:name w:val="Default Paragraph Font"/>
    <w:unhideWhenUsed/>
    <w:qFormat/>
    <w:uiPriority w:val="1"/>
  </w:style>
  <w:style w:type="table" w:default="1" w:styleId="24">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annotation text"/>
    <w:basedOn w:val="1"/>
    <w:next w:val="6"/>
    <w:qFormat/>
    <w:uiPriority w:val="0"/>
    <w:pPr>
      <w:jc w:val="left"/>
    </w:pPr>
  </w:style>
  <w:style w:type="paragraph" w:styleId="6">
    <w:name w:val="annotation subject"/>
    <w:next w:val="5"/>
    <w:qFormat/>
    <w:uiPriority w:val="0"/>
    <w:pPr>
      <w:widowControl w:val="0"/>
    </w:pPr>
    <w:rPr>
      <w:rFonts w:ascii="Times New Roman" w:hAnsi="Times New Roman" w:eastAsia="宋体" w:cs="Times New Roman"/>
      <w:b/>
      <w:sz w:val="21"/>
      <w:lang w:val="en-US" w:eastAsia="zh-CN" w:bidi="ar-SA"/>
    </w:rPr>
  </w:style>
  <w:style w:type="paragraph" w:styleId="7">
    <w:name w:val="Body Text"/>
    <w:basedOn w:val="1"/>
    <w:next w:val="1"/>
    <w:link w:val="39"/>
    <w:qFormat/>
    <w:uiPriority w:val="0"/>
  </w:style>
  <w:style w:type="paragraph" w:styleId="8">
    <w:name w:val="Body Text Indent"/>
    <w:basedOn w:val="1"/>
    <w:qFormat/>
    <w:uiPriority w:val="0"/>
    <w:pPr>
      <w:spacing w:line="700" w:lineRule="exact"/>
      <w:ind w:left="960"/>
    </w:pPr>
    <w:rPr>
      <w:rFonts w:ascii="Calibri" w:hAnsi="Calibri"/>
      <w:sz w:val="44"/>
    </w:rPr>
  </w:style>
  <w:style w:type="paragraph" w:styleId="9">
    <w:name w:val="toc 3"/>
    <w:basedOn w:val="1"/>
    <w:next w:val="1"/>
    <w:qFormat/>
    <w:uiPriority w:val="0"/>
    <w:pPr>
      <w:ind w:left="840" w:leftChars="400"/>
    </w:pPr>
  </w:style>
  <w:style w:type="paragraph" w:styleId="10">
    <w:name w:val="Plain Text"/>
    <w:basedOn w:val="1"/>
    <w:qFormat/>
    <w:uiPriority w:val="0"/>
    <w:rPr>
      <w:rFonts w:ascii="宋体" w:hAnsi="Courier New"/>
      <w:sz w:val="21"/>
    </w:rPr>
  </w:style>
  <w:style w:type="paragraph" w:styleId="11">
    <w:name w:val="Date"/>
    <w:basedOn w:val="1"/>
    <w:next w:val="1"/>
    <w:qFormat/>
    <w:uiPriority w:val="0"/>
  </w:style>
  <w:style w:type="paragraph" w:styleId="12">
    <w:name w:val="Body Text Indent 2"/>
    <w:basedOn w:val="1"/>
    <w:qFormat/>
    <w:uiPriority w:val="0"/>
    <w:pPr>
      <w:snapToGrid w:val="0"/>
      <w:spacing w:line="560" w:lineRule="atLeast"/>
      <w:ind w:firstLine="540"/>
    </w:pPr>
  </w:style>
  <w:style w:type="paragraph" w:styleId="13">
    <w:name w:val="Balloon Text"/>
    <w:basedOn w:val="1"/>
    <w:link w:val="41"/>
    <w:unhideWhenUsed/>
    <w:qFormat/>
    <w:uiPriority w:val="0"/>
    <w:rPr>
      <w:rFonts w:ascii="Calibri" w:hAnsi="Calibri" w:eastAsia="宋体"/>
      <w:sz w:val="18"/>
      <w:szCs w:val="18"/>
    </w:rPr>
  </w:style>
  <w:style w:type="paragraph" w:styleId="14">
    <w:name w:val="footer"/>
    <w:basedOn w:val="1"/>
    <w:next w:val="15"/>
    <w:qFormat/>
    <w:uiPriority w:val="0"/>
    <w:pPr>
      <w:tabs>
        <w:tab w:val="center" w:pos="4153"/>
        <w:tab w:val="right" w:pos="8306"/>
      </w:tabs>
      <w:snapToGrid w:val="0"/>
      <w:jc w:val="left"/>
    </w:pPr>
    <w:rPr>
      <w:sz w:val="18"/>
    </w:rPr>
  </w:style>
  <w:style w:type="paragraph" w:customStyle="1" w:styleId="15">
    <w:name w:val="索引 51"/>
    <w:basedOn w:val="1"/>
    <w:next w:val="1"/>
    <w:qFormat/>
    <w:uiPriority w:val="99"/>
    <w:pPr>
      <w:ind w:left="1680"/>
    </w:pPr>
  </w:style>
  <w:style w:type="paragraph" w:styleId="16">
    <w:name w:val="header"/>
    <w:basedOn w:val="1"/>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qFormat/>
    <w:uiPriority w:val="39"/>
    <w:pPr>
      <w:jc w:val="left"/>
    </w:pPr>
    <w:rPr>
      <w:b/>
      <w:bCs/>
      <w:caps/>
      <w:sz w:val="20"/>
    </w:rPr>
  </w:style>
  <w:style w:type="paragraph" w:styleId="18">
    <w:name w:val="footnote text"/>
    <w:basedOn w:val="1"/>
    <w:qFormat/>
    <w:uiPriority w:val="0"/>
    <w:pPr>
      <w:snapToGrid w:val="0"/>
      <w:jc w:val="left"/>
    </w:pPr>
    <w:rPr>
      <w:rFonts w:hint="eastAsia" w:ascii="等线" w:hAnsi="等线" w:eastAsia="等线"/>
      <w:sz w:val="18"/>
      <w:szCs w:val="22"/>
    </w:rPr>
  </w:style>
  <w:style w:type="paragraph" w:styleId="19">
    <w:name w:val="toc 2"/>
    <w:basedOn w:val="1"/>
    <w:next w:val="1"/>
    <w:qFormat/>
    <w:uiPriority w:val="39"/>
    <w:pPr>
      <w:ind w:left="420" w:leftChars="200"/>
    </w:pPr>
  </w:style>
  <w:style w:type="paragraph" w:styleId="20">
    <w:name w:val="Normal (Web)"/>
    <w:basedOn w:val="1"/>
    <w:qFormat/>
    <w:uiPriority w:val="0"/>
    <w:pPr>
      <w:widowControl/>
      <w:jc w:val="left"/>
    </w:pPr>
    <w:rPr>
      <w:rFonts w:ascii="宋体" w:hAnsi="宋体" w:cs="宋体"/>
      <w:kern w:val="0"/>
    </w:rPr>
  </w:style>
  <w:style w:type="paragraph" w:styleId="21">
    <w:name w:val="Title"/>
    <w:basedOn w:val="1"/>
    <w:qFormat/>
    <w:uiPriority w:val="0"/>
    <w:pPr>
      <w:widowControl/>
      <w:spacing w:after="240" w:line="360" w:lineRule="auto"/>
      <w:jc w:val="center"/>
    </w:pPr>
    <w:rPr>
      <w:rFonts w:ascii="Arial" w:hAnsi="Arial"/>
      <w:b/>
      <w:smallCaps/>
      <w:kern w:val="28"/>
      <w:sz w:val="36"/>
      <w:szCs w:val="20"/>
      <w:lang w:eastAsia="en-US"/>
    </w:rPr>
  </w:style>
  <w:style w:type="paragraph" w:styleId="22">
    <w:name w:val="Body Text First Indent"/>
    <w:basedOn w:val="7"/>
    <w:qFormat/>
    <w:uiPriority w:val="0"/>
    <w:pPr>
      <w:spacing w:line="360" w:lineRule="auto"/>
      <w:ind w:firstLine="420"/>
    </w:pPr>
    <w:rPr>
      <w:rFonts w:ascii="宋体" w:hAnsi="宋体"/>
    </w:rPr>
  </w:style>
  <w:style w:type="paragraph" w:styleId="23">
    <w:name w:val="Body Text First Indent 2"/>
    <w:basedOn w:val="8"/>
    <w:qFormat/>
    <w:uiPriority w:val="0"/>
    <w:pPr>
      <w:spacing w:line="240" w:lineRule="auto"/>
      <w:ind w:left="420" w:leftChars="200" w:firstLine="420" w:firstLineChars="200"/>
    </w:pPr>
    <w:rPr>
      <w:rFonts w:ascii="Times New Roman" w:hAnsi="Times New Roman"/>
      <w:sz w:val="21"/>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b/>
      <w:bCs/>
    </w:rPr>
  </w:style>
  <w:style w:type="character" w:styleId="28">
    <w:name w:val="page number"/>
    <w:basedOn w:val="26"/>
    <w:qFormat/>
    <w:uiPriority w:val="0"/>
  </w:style>
  <w:style w:type="character" w:styleId="29">
    <w:name w:val="FollowedHyperlink"/>
    <w:qFormat/>
    <w:uiPriority w:val="0"/>
    <w:rPr>
      <w:color w:val="800080"/>
      <w:u w:val="single"/>
    </w:rPr>
  </w:style>
  <w:style w:type="character" w:styleId="30">
    <w:name w:val="Hyperlink"/>
    <w:qFormat/>
    <w:uiPriority w:val="99"/>
    <w:rPr>
      <w:color w:val="0000FF"/>
      <w:u w:val="single"/>
    </w:rPr>
  </w:style>
  <w:style w:type="character" w:styleId="31">
    <w:name w:val="annotation reference"/>
    <w:qFormat/>
    <w:uiPriority w:val="0"/>
    <w:rPr>
      <w:sz w:val="21"/>
      <w:szCs w:val="21"/>
    </w:rPr>
  </w:style>
  <w:style w:type="character" w:styleId="32">
    <w:name w:val="footnote reference"/>
    <w:qFormat/>
    <w:uiPriority w:val="0"/>
    <w:rPr>
      <w:vertAlign w:val="superscript"/>
    </w:rPr>
  </w:style>
  <w:style w:type="paragraph" w:styleId="33">
    <w:name w:val="Quote"/>
    <w:basedOn w:val="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34">
    <w:name w:val="目录 53"/>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35">
    <w:name w:val="正文1"/>
    <w:basedOn w:val="1"/>
    <w:next w:val="1"/>
    <w:qFormat/>
    <w:uiPriority w:val="0"/>
    <w:pPr>
      <w:spacing w:line="300" w:lineRule="auto"/>
      <w:ind w:firstLine="200" w:firstLineChars="200"/>
    </w:pPr>
    <w:rPr>
      <w:sz w:val="24"/>
    </w:rPr>
  </w:style>
  <w:style w:type="paragraph" w:customStyle="1" w:styleId="36">
    <w:name w:val="目录 83"/>
    <w:next w:val="1"/>
    <w:qFormat/>
    <w:uiPriority w:val="0"/>
    <w:pPr>
      <w:wordWrap w:val="0"/>
      <w:ind w:left="2550"/>
      <w:jc w:val="both"/>
    </w:pPr>
    <w:rPr>
      <w:rFonts w:ascii="Times New Roman" w:hAnsi="Times New Roman" w:eastAsia="宋体" w:cs="Times New Roman"/>
      <w:sz w:val="21"/>
      <w:lang w:val="en-US" w:eastAsia="zh-CN" w:bidi="ar-SA"/>
    </w:rPr>
  </w:style>
  <w:style w:type="character" w:customStyle="1" w:styleId="37">
    <w:name w:val="标题 2 Char1"/>
    <w:link w:val="2"/>
    <w:qFormat/>
    <w:uiPriority w:val="0"/>
    <w:rPr>
      <w:rFonts w:ascii="宋体" w:hAnsi="宋体" w:eastAsia="方正仿宋_GBK"/>
      <w:b/>
      <w:color w:val="943734"/>
      <w:sz w:val="28"/>
    </w:rPr>
  </w:style>
  <w:style w:type="character" w:customStyle="1" w:styleId="38">
    <w:name w:val="NormalCharacter"/>
    <w:qFormat/>
    <w:uiPriority w:val="0"/>
    <w:rPr>
      <w:rFonts w:eastAsia="方正仿宋_GBK"/>
      <w:kern w:val="2"/>
      <w:sz w:val="24"/>
      <w:lang w:val="en-US" w:eastAsia="zh-CN" w:bidi="ar-SA"/>
    </w:rPr>
  </w:style>
  <w:style w:type="character" w:customStyle="1" w:styleId="39">
    <w:name w:val="正文文本 Char"/>
    <w:link w:val="7"/>
    <w:qFormat/>
    <w:uiPriority w:val="0"/>
    <w:rPr>
      <w:rFonts w:eastAsia="方正仿宋_GBK"/>
      <w:kern w:val="2"/>
      <w:sz w:val="24"/>
    </w:rPr>
  </w:style>
  <w:style w:type="character" w:customStyle="1" w:styleId="40">
    <w:name w:val="标题 2 Char"/>
    <w:qFormat/>
    <w:uiPriority w:val="0"/>
    <w:rPr>
      <w:rFonts w:ascii="宋体" w:hAnsi="宋体" w:eastAsia="方正仿宋_GBK"/>
      <w:b/>
      <w:sz w:val="28"/>
    </w:rPr>
  </w:style>
  <w:style w:type="character" w:customStyle="1" w:styleId="41">
    <w:name w:val="批注框文本 Char"/>
    <w:link w:val="13"/>
    <w:qFormat/>
    <w:uiPriority w:val="0"/>
    <w:rPr>
      <w:rFonts w:hint="default" w:ascii="Calibri" w:hAnsi="Calibri" w:cs="Calibri"/>
      <w:kern w:val="2"/>
      <w:sz w:val="18"/>
      <w:szCs w:val="18"/>
    </w:rPr>
  </w:style>
  <w:style w:type="character" w:customStyle="1" w:styleId="42">
    <w:name w:val="标题 2 字符"/>
    <w:qFormat/>
    <w:uiPriority w:val="0"/>
    <w:rPr>
      <w:rFonts w:ascii="等线 Light" w:hAnsi="等线 Light" w:eastAsia="等线 Light" w:cs="Times New Roman"/>
      <w:b/>
      <w:kern w:val="2"/>
      <w:sz w:val="32"/>
      <w:szCs w:val="32"/>
    </w:rPr>
  </w:style>
  <w:style w:type="character" w:customStyle="1" w:styleId="43">
    <w:name w:val="正文字 字符"/>
    <w:link w:val="44"/>
    <w:qFormat/>
    <w:uiPriority w:val="0"/>
    <w:rPr>
      <w:rFonts w:ascii="方正仿宋_GBK" w:hAnsi="宋体" w:eastAsia="方正仿宋_GBK"/>
      <w:kern w:val="2"/>
      <w:sz w:val="24"/>
      <w:szCs w:val="24"/>
    </w:rPr>
  </w:style>
  <w:style w:type="paragraph" w:customStyle="1" w:styleId="44">
    <w:name w:val="正文字"/>
    <w:basedOn w:val="1"/>
    <w:link w:val="43"/>
    <w:qFormat/>
    <w:uiPriority w:val="0"/>
    <w:pPr>
      <w:snapToGrid w:val="0"/>
      <w:spacing w:line="400" w:lineRule="exact"/>
      <w:ind w:firstLine="480" w:firstLineChars="200"/>
    </w:pPr>
    <w:rPr>
      <w:rFonts w:ascii="方正仿宋_GBK" w:hAnsi="宋体"/>
      <w:szCs w:val="24"/>
    </w:rPr>
  </w:style>
  <w:style w:type="paragraph" w:customStyle="1" w:styleId="45">
    <w:name w:val="列出段落1"/>
    <w:basedOn w:val="1"/>
    <w:qFormat/>
    <w:uiPriority w:val="99"/>
    <w:pPr>
      <w:ind w:firstLine="420" w:firstLineChars="200"/>
    </w:pPr>
    <w:rPr>
      <w:rFonts w:ascii="Calibri" w:hAnsi="Calibri"/>
      <w:sz w:val="28"/>
    </w:rPr>
  </w:style>
  <w:style w:type="paragraph" w:customStyle="1" w:styleId="46">
    <w:name w:val="正文缩进1"/>
    <w:basedOn w:val="1"/>
    <w:qFormat/>
    <w:uiPriority w:val="0"/>
    <w:pPr>
      <w:ind w:firstLine="420" w:firstLineChars="200"/>
    </w:pPr>
    <w:rPr>
      <w:sz w:val="32"/>
    </w:rPr>
  </w:style>
  <w:style w:type="paragraph" w:customStyle="1" w:styleId="47">
    <w:name w:val="1"/>
    <w:basedOn w:val="1"/>
    <w:next w:val="10"/>
    <w:qFormat/>
    <w:uiPriority w:val="0"/>
    <w:rPr>
      <w:rFonts w:ascii="宋体" w:hAnsi="Courier New"/>
      <w:sz w:val="21"/>
    </w:rPr>
  </w:style>
  <w:style w:type="paragraph" w:customStyle="1" w:styleId="4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9">
    <w:name w:val="_Style 41"/>
    <w:basedOn w:val="3"/>
    <w:next w:val="1"/>
    <w:qFormat/>
    <w:uiPriority w:val="39"/>
    <w:pPr>
      <w:keepLines/>
      <w:widowControl/>
      <w:tabs>
        <w:tab w:val="clear" w:pos="3360"/>
      </w:tabs>
      <w:snapToGrid/>
      <w:spacing w:beforeLines="0" w:afterLines="0" w:line="259" w:lineRule="auto"/>
      <w:jc w:val="left"/>
      <w:outlineLvl w:val="9"/>
    </w:pPr>
    <w:rPr>
      <w:rFonts w:ascii="Calibri Light" w:hAnsi="Calibri Light" w:eastAsia="宋体"/>
      <w:color w:val="2E74B5"/>
      <w:kern w:val="0"/>
      <w:sz w:val="32"/>
      <w:szCs w:val="32"/>
    </w:rPr>
  </w:style>
  <w:style w:type="paragraph" w:customStyle="1" w:styleId="50">
    <w:name w:val="Other|1"/>
    <w:basedOn w:val="1"/>
    <w:qFormat/>
    <w:uiPriority w:val="0"/>
    <w:pPr>
      <w:spacing w:after="90" w:line="449" w:lineRule="auto"/>
      <w:ind w:firstLine="400"/>
    </w:pPr>
    <w:rPr>
      <w:rFonts w:ascii="宋体" w:hAnsi="宋体" w:cs="宋体"/>
      <w:sz w:val="28"/>
      <w:szCs w:val="28"/>
      <w:lang w:val="zh-TW" w:eastAsia="zh-TW" w:bidi="zh-TW"/>
    </w:rPr>
  </w:style>
  <w:style w:type="paragraph" w:customStyle="1" w:styleId="51">
    <w:name w:val="Heading1"/>
    <w:basedOn w:val="1"/>
    <w:next w:val="1"/>
    <w:qFormat/>
    <w:uiPriority w:val="0"/>
    <w:pPr>
      <w:keepNext/>
      <w:tabs>
        <w:tab w:val="left" w:pos="3360"/>
      </w:tabs>
      <w:snapToGrid w:val="0"/>
      <w:spacing w:before="312" w:after="156" w:line="800" w:lineRule="atLeast"/>
      <w:jc w:val="center"/>
      <w:textAlignment w:val="baseline"/>
    </w:pPr>
    <w:rPr>
      <w:rFonts w:eastAsia="黑体"/>
      <w:sz w:val="44"/>
    </w:rPr>
  </w:style>
  <w:style w:type="paragraph" w:customStyle="1" w:styleId="52">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53">
    <w:name w:val="WPSOffice手动目录 1"/>
    <w:qFormat/>
    <w:uiPriority w:val="0"/>
    <w:rPr>
      <w:rFonts w:ascii="Times New Roman" w:hAnsi="Times New Roman" w:eastAsia="宋体" w:cs="Times New Roman"/>
      <w:lang w:val="en-US" w:eastAsia="zh-CN" w:bidi="ar-SA"/>
    </w:rPr>
  </w:style>
  <w:style w:type="paragraph" w:customStyle="1" w:styleId="54">
    <w:name w:val="图例"/>
    <w:basedOn w:val="1"/>
    <w:qFormat/>
    <w:uiPriority w:val="0"/>
    <w:pPr>
      <w:spacing w:line="360" w:lineRule="auto"/>
      <w:jc w:val="center"/>
    </w:pPr>
    <w:rPr>
      <w:rFonts w:eastAsia="仿宋_GB2312"/>
      <w:b/>
    </w:rPr>
  </w:style>
  <w:style w:type="paragraph" w:customStyle="1" w:styleId="55">
    <w:name w:val="TOC1"/>
    <w:basedOn w:val="1"/>
    <w:next w:val="1"/>
    <w:qFormat/>
    <w:uiPriority w:val="0"/>
    <w:pPr>
      <w:jc w:val="left"/>
      <w:textAlignment w:val="baseline"/>
    </w:pPr>
    <w:rPr>
      <w:b/>
      <w:bCs/>
      <w:caps/>
      <w:sz w:val="20"/>
    </w:rPr>
  </w:style>
  <w:style w:type="paragraph" w:customStyle="1" w:styleId="56">
    <w:name w:val="List Paragraph1"/>
    <w:basedOn w:val="1"/>
    <w:qFormat/>
    <w:uiPriority w:val="0"/>
    <w:pPr>
      <w:ind w:firstLine="420" w:firstLineChars="200"/>
    </w:pPr>
    <w:rPr>
      <w:rFonts w:ascii="Calibri" w:hAnsi="Calibri"/>
      <w:sz w:val="21"/>
    </w:rPr>
  </w:style>
  <w:style w:type="paragraph" w:customStyle="1" w:styleId="5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8">
    <w:name w:val="Table Paragraph"/>
    <w:basedOn w:val="1"/>
    <w:qFormat/>
    <w:uiPriority w:val="1"/>
    <w:rPr>
      <w:rFonts w:ascii="仿宋" w:hAnsi="仿宋" w:eastAsia="仿宋" w:cs="仿宋"/>
      <w:lang w:val="zh-CN" w:bidi="zh-CN"/>
    </w:rPr>
  </w:style>
  <w:style w:type="character" w:customStyle="1" w:styleId="59">
    <w:name w:val="15"/>
    <w:basedOn w:val="26"/>
    <w:qFormat/>
    <w:uiPriority w:val="0"/>
    <w:rPr>
      <w:rFonts w:hint="default" w:ascii="Times New Roman" w:hAnsi="Times New Roman" w:cs="Times New Roman"/>
    </w:rPr>
  </w:style>
  <w:style w:type="character" w:customStyle="1" w:styleId="60">
    <w:name w:val="10"/>
    <w:basedOn w:val="26"/>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4010</Words>
  <Characters>22857</Characters>
  <Lines>1</Lines>
  <Paragraphs>1</Paragraphs>
  <TotalTime>51</TotalTime>
  <ScaleCrop>false</ScaleCrop>
  <LinksUpToDate>false</LinksUpToDate>
  <CharactersWithSpaces>26814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2022-07-06T07:39:00Z</dcterms:created>
  <dc:creator>Administrator</dc:creator>
  <cp:lastModifiedBy>吴衡1</cp:lastModifiedBy>
  <cp:lastPrinted>2024-06-18T09:31:51Z</cp:lastPrinted>
  <dcterms:modified xsi:type="dcterms:W3CDTF">2024-06-18T09:39:01Z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574B131FFD224DD29CEEEA3FB090EE13</vt:lpwstr>
  </property>
</Properties>
</file>